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A5E9" w14:textId="77777777" w:rsidR="001D7DB8" w:rsidRPr="003712AF" w:rsidRDefault="001D7DB8" w:rsidP="006F3ACC">
      <w:pPr>
        <w:shd w:val="clear" w:color="auto" w:fill="FFFFFF"/>
        <w:spacing w:before="100" w:beforeAutospacing="1" w:after="360" w:line="240" w:lineRule="auto"/>
        <w:jc w:val="center"/>
        <w:rPr>
          <w:rFonts w:ascii="Arial" w:hAnsi="Arial" w:cs="Arial"/>
          <w:b/>
          <w:bCs/>
          <w:color w:val="000000"/>
          <w:sz w:val="24"/>
          <w:szCs w:val="24"/>
        </w:rPr>
      </w:pPr>
      <w:bookmarkStart w:id="0" w:name="vi"/>
      <w:bookmarkStart w:id="1" w:name="pa"/>
      <w:bookmarkStart w:id="2" w:name="_GoBack"/>
      <w:bookmarkEnd w:id="2"/>
      <w:r w:rsidRPr="003712AF">
        <w:rPr>
          <w:rFonts w:ascii="Arial" w:hAnsi="Arial" w:cs="Arial"/>
          <w:b/>
          <w:bCs/>
          <w:color w:val="000000"/>
          <w:sz w:val="24"/>
          <w:szCs w:val="24"/>
        </w:rPr>
        <w:t>Procedures for Verifying Inventory</w:t>
      </w:r>
    </w:p>
    <w:p w14:paraId="437B7929" w14:textId="77777777" w:rsidR="003712AF" w:rsidRDefault="00F85DAF" w:rsidP="006F3ACC">
      <w:pPr>
        <w:shd w:val="clear" w:color="auto" w:fill="FFFFFF"/>
        <w:spacing w:after="120" w:line="240" w:lineRule="auto"/>
        <w:rPr>
          <w:rFonts w:ascii="Arial" w:hAnsi="Arial" w:cs="Arial"/>
          <w:b/>
          <w:bCs/>
          <w:color w:val="000000"/>
          <w:sz w:val="20"/>
          <w:szCs w:val="20"/>
        </w:rPr>
      </w:pPr>
      <w:r>
        <w:rPr>
          <w:rFonts w:ascii="Arial" w:hAnsi="Arial" w:cs="Arial"/>
          <w:b/>
          <w:bCs/>
          <w:color w:val="000000"/>
          <w:sz w:val="20"/>
          <w:szCs w:val="20"/>
        </w:rPr>
        <w:t>Department Verification of</w:t>
      </w:r>
      <w:r w:rsidR="00AE7DB1" w:rsidRPr="00AE7DB1">
        <w:rPr>
          <w:rFonts w:ascii="Arial" w:hAnsi="Arial" w:cs="Arial"/>
          <w:b/>
          <w:bCs/>
          <w:color w:val="000000"/>
          <w:sz w:val="20"/>
          <w:szCs w:val="20"/>
        </w:rPr>
        <w:t xml:space="preserve"> Inventory</w:t>
      </w:r>
      <w:bookmarkEnd w:id="0"/>
    </w:p>
    <w:p w14:paraId="307DCB4A" w14:textId="58DF9934" w:rsidR="00F7173A" w:rsidRDefault="00AE7DB1" w:rsidP="006F3ACC">
      <w:pPr>
        <w:shd w:val="clear" w:color="auto" w:fill="FFFFFF"/>
        <w:spacing w:after="120" w:line="240" w:lineRule="auto"/>
        <w:rPr>
          <w:rFonts w:ascii="Arial" w:hAnsi="Arial" w:cs="Arial"/>
          <w:color w:val="000000"/>
          <w:sz w:val="20"/>
          <w:szCs w:val="20"/>
        </w:rPr>
      </w:pPr>
      <w:r w:rsidRPr="00AE7DB1">
        <w:rPr>
          <w:rFonts w:ascii="Arial" w:hAnsi="Arial" w:cs="Arial"/>
          <w:color w:val="000000"/>
          <w:sz w:val="20"/>
          <w:szCs w:val="20"/>
        </w:rPr>
        <w:t>Year-end inventory count and valuation must be made as of close of business on June 30</w:t>
      </w:r>
      <w:r w:rsidRPr="00AE7DB1">
        <w:rPr>
          <w:rFonts w:ascii="Arial" w:hAnsi="Arial" w:cs="Arial"/>
          <w:color w:val="000000"/>
          <w:sz w:val="20"/>
          <w:szCs w:val="20"/>
          <w:vertAlign w:val="superscript"/>
        </w:rPr>
        <w:t>th</w:t>
      </w:r>
      <w:r w:rsidR="001E7B47">
        <w:rPr>
          <w:rFonts w:ascii="Arial" w:hAnsi="Arial" w:cs="Arial"/>
          <w:color w:val="000000"/>
          <w:sz w:val="20"/>
          <w:szCs w:val="20"/>
        </w:rPr>
        <w:t>.  In special cases with respect to timing of inventory counts</w:t>
      </w:r>
      <w:r w:rsidR="0085329C">
        <w:rPr>
          <w:rFonts w:ascii="Arial" w:hAnsi="Arial" w:cs="Arial"/>
          <w:color w:val="000000"/>
          <w:sz w:val="20"/>
          <w:szCs w:val="20"/>
        </w:rPr>
        <w:t>,</w:t>
      </w:r>
      <w:r w:rsidR="001E7B47">
        <w:rPr>
          <w:rFonts w:ascii="Arial" w:hAnsi="Arial" w:cs="Arial"/>
          <w:color w:val="000000"/>
          <w:sz w:val="20"/>
          <w:szCs w:val="20"/>
        </w:rPr>
        <w:t xml:space="preserve"> allowances to the June 30</w:t>
      </w:r>
      <w:r w:rsidR="001E7B47" w:rsidRPr="001E7B47">
        <w:rPr>
          <w:rFonts w:ascii="Arial" w:hAnsi="Arial" w:cs="Arial"/>
          <w:color w:val="000000"/>
          <w:sz w:val="20"/>
          <w:szCs w:val="20"/>
          <w:vertAlign w:val="superscript"/>
        </w:rPr>
        <w:t>th</w:t>
      </w:r>
      <w:r w:rsidR="001E7B47">
        <w:rPr>
          <w:rFonts w:ascii="Arial" w:hAnsi="Arial" w:cs="Arial"/>
          <w:color w:val="000000"/>
          <w:sz w:val="20"/>
          <w:szCs w:val="20"/>
        </w:rPr>
        <w:t xml:space="preserve"> </w:t>
      </w:r>
      <w:r w:rsidR="0085329C">
        <w:rPr>
          <w:rFonts w:ascii="Arial" w:hAnsi="Arial" w:cs="Arial"/>
          <w:color w:val="000000"/>
          <w:sz w:val="20"/>
          <w:szCs w:val="20"/>
        </w:rPr>
        <w:t>requirement m</w:t>
      </w:r>
      <w:r w:rsidR="001E7B47">
        <w:rPr>
          <w:rFonts w:ascii="Arial" w:hAnsi="Arial" w:cs="Arial"/>
          <w:color w:val="000000"/>
          <w:sz w:val="20"/>
          <w:szCs w:val="20"/>
        </w:rPr>
        <w:t xml:space="preserve">ay apply.  </w:t>
      </w:r>
      <w:bookmarkEnd w:id="1"/>
      <w:r w:rsidR="008B1E71">
        <w:rPr>
          <w:rFonts w:ascii="Arial" w:hAnsi="Arial" w:cs="Arial"/>
          <w:color w:val="000000"/>
          <w:sz w:val="20"/>
          <w:szCs w:val="20"/>
        </w:rPr>
        <w:t>Approval by Campus Services is</w:t>
      </w:r>
      <w:r w:rsidR="0085329C">
        <w:rPr>
          <w:rFonts w:ascii="Arial" w:hAnsi="Arial" w:cs="Arial"/>
          <w:color w:val="000000"/>
          <w:sz w:val="20"/>
          <w:szCs w:val="20"/>
        </w:rPr>
        <w:t xml:space="preserve"> required on any changes to the June 30</w:t>
      </w:r>
      <w:r w:rsidR="0085329C" w:rsidRPr="0085329C">
        <w:rPr>
          <w:rFonts w:ascii="Arial" w:hAnsi="Arial" w:cs="Arial"/>
          <w:color w:val="000000"/>
          <w:sz w:val="20"/>
          <w:szCs w:val="20"/>
          <w:vertAlign w:val="superscript"/>
        </w:rPr>
        <w:t>th</w:t>
      </w:r>
      <w:r w:rsidR="0085329C">
        <w:rPr>
          <w:rFonts w:ascii="Arial" w:hAnsi="Arial" w:cs="Arial"/>
          <w:color w:val="000000"/>
          <w:sz w:val="20"/>
          <w:szCs w:val="20"/>
        </w:rPr>
        <w:t xml:space="preserve"> date for inventory counts.</w:t>
      </w:r>
    </w:p>
    <w:p w14:paraId="64ECA23C" w14:textId="77777777" w:rsidR="00F7173A" w:rsidRPr="008805AE" w:rsidRDefault="00F7173A" w:rsidP="006F3ACC">
      <w:pPr>
        <w:pStyle w:val="ListParagraph"/>
        <w:numPr>
          <w:ilvl w:val="0"/>
          <w:numId w:val="2"/>
        </w:numPr>
        <w:shd w:val="clear" w:color="auto" w:fill="FFFFFF"/>
        <w:spacing w:after="120" w:line="240" w:lineRule="auto"/>
        <w:ind w:left="994"/>
        <w:contextualSpacing w:val="0"/>
        <w:rPr>
          <w:rFonts w:ascii="Arial" w:hAnsi="Arial" w:cs="Arial"/>
          <w:color w:val="000000"/>
          <w:sz w:val="20"/>
          <w:szCs w:val="20"/>
        </w:rPr>
      </w:pPr>
      <w:r w:rsidRPr="008805AE">
        <w:rPr>
          <w:rFonts w:ascii="Arial" w:hAnsi="Arial" w:cs="Arial"/>
          <w:b/>
          <w:bCs/>
          <w:color w:val="000000"/>
          <w:sz w:val="20"/>
          <w:szCs w:val="20"/>
        </w:rPr>
        <w:t>Physical arrangement</w:t>
      </w:r>
      <w:r w:rsidRPr="008805AE">
        <w:rPr>
          <w:rFonts w:ascii="Arial" w:hAnsi="Arial" w:cs="Arial"/>
          <w:color w:val="000000"/>
          <w:sz w:val="20"/>
          <w:szCs w:val="20"/>
        </w:rPr>
        <w:t xml:space="preserve"> </w:t>
      </w:r>
    </w:p>
    <w:p w14:paraId="6518B528" w14:textId="77777777" w:rsidR="00F7173A" w:rsidRPr="008805AE" w:rsidRDefault="00F7173A" w:rsidP="006F3ACC">
      <w:pPr>
        <w:pStyle w:val="ListParagraph"/>
        <w:numPr>
          <w:ilvl w:val="0"/>
          <w:numId w:val="3"/>
        </w:numPr>
        <w:shd w:val="clear" w:color="auto" w:fill="FFFFFF"/>
        <w:spacing w:after="120" w:line="240" w:lineRule="auto"/>
        <w:contextualSpacing w:val="0"/>
        <w:rPr>
          <w:rFonts w:ascii="Arial" w:hAnsi="Arial" w:cs="Arial"/>
          <w:color w:val="000000"/>
          <w:sz w:val="20"/>
          <w:szCs w:val="20"/>
        </w:rPr>
      </w:pPr>
      <w:r w:rsidRPr="008805AE">
        <w:rPr>
          <w:rFonts w:ascii="Arial" w:hAnsi="Arial" w:cs="Arial"/>
          <w:color w:val="000000"/>
          <w:sz w:val="20"/>
          <w:szCs w:val="20"/>
        </w:rPr>
        <w:t xml:space="preserve">Arrange merchandise and consumables to be inventoried in a neat and orderly manner. This will provide for more efficient and accurate physical counts. </w:t>
      </w:r>
    </w:p>
    <w:p w14:paraId="7FEAA5CE" w14:textId="77777777" w:rsidR="00F7173A" w:rsidRPr="008805AE" w:rsidRDefault="00F7173A" w:rsidP="003712AF">
      <w:pPr>
        <w:pStyle w:val="ListParagraph"/>
        <w:numPr>
          <w:ilvl w:val="0"/>
          <w:numId w:val="3"/>
        </w:numPr>
        <w:shd w:val="clear" w:color="auto" w:fill="FFFFFF"/>
        <w:spacing w:before="100" w:beforeAutospacing="1" w:after="120" w:line="240" w:lineRule="auto"/>
        <w:contextualSpacing w:val="0"/>
        <w:rPr>
          <w:rFonts w:ascii="Arial" w:hAnsi="Arial" w:cs="Arial"/>
          <w:color w:val="000000"/>
          <w:sz w:val="20"/>
          <w:szCs w:val="20"/>
        </w:rPr>
      </w:pPr>
      <w:r w:rsidRPr="008805AE">
        <w:rPr>
          <w:rFonts w:ascii="Arial" w:hAnsi="Arial" w:cs="Arial"/>
          <w:color w:val="000000"/>
          <w:sz w:val="20"/>
          <w:szCs w:val="20"/>
        </w:rPr>
        <w:t xml:space="preserve">Prepare a diagram of the inventory location in sufficient detail to give each counter, shelf, bin, farm area, etc., an identification number. List these identification numbers on the Inventory Count Sheets for item location. </w:t>
      </w:r>
    </w:p>
    <w:p w14:paraId="67E7CDB7" w14:textId="77777777" w:rsidR="00F7173A" w:rsidRPr="008805AE" w:rsidRDefault="00F7173A" w:rsidP="006F3ACC">
      <w:pPr>
        <w:pStyle w:val="ListParagraph"/>
        <w:numPr>
          <w:ilvl w:val="0"/>
          <w:numId w:val="3"/>
        </w:numPr>
        <w:shd w:val="clear" w:color="auto" w:fill="FFFFFF"/>
        <w:spacing w:before="100" w:beforeAutospacing="1" w:after="120" w:line="240" w:lineRule="auto"/>
        <w:contextualSpacing w:val="0"/>
        <w:rPr>
          <w:rFonts w:ascii="Arial" w:hAnsi="Arial" w:cs="Arial"/>
          <w:color w:val="000000"/>
          <w:sz w:val="20"/>
          <w:szCs w:val="20"/>
        </w:rPr>
      </w:pPr>
      <w:r w:rsidRPr="008805AE">
        <w:rPr>
          <w:rFonts w:ascii="Arial" w:hAnsi="Arial" w:cs="Arial"/>
          <w:color w:val="000000"/>
          <w:sz w:val="20"/>
          <w:szCs w:val="20"/>
        </w:rPr>
        <w:t xml:space="preserve">Include all merchandise received prior to the start of the inventory count regardless of the scheduled date of delivery. For example, if a shipment was requested for July 8, but delivered June 25, the merchandise is included in the June 30 count. </w:t>
      </w:r>
    </w:p>
    <w:p w14:paraId="42CBC550" w14:textId="77777777" w:rsidR="00F7173A" w:rsidRPr="008805AE" w:rsidRDefault="00F7173A" w:rsidP="006F3ACC">
      <w:pPr>
        <w:pStyle w:val="ListParagraph"/>
        <w:numPr>
          <w:ilvl w:val="0"/>
          <w:numId w:val="3"/>
        </w:numPr>
        <w:shd w:val="clear" w:color="auto" w:fill="FFFFFF"/>
        <w:spacing w:before="100" w:beforeAutospacing="1" w:after="120" w:line="240" w:lineRule="auto"/>
        <w:contextualSpacing w:val="0"/>
        <w:rPr>
          <w:rFonts w:ascii="Arial" w:hAnsi="Arial" w:cs="Arial"/>
          <w:color w:val="000000"/>
          <w:sz w:val="20"/>
          <w:szCs w:val="20"/>
        </w:rPr>
      </w:pPr>
      <w:r w:rsidRPr="008805AE">
        <w:rPr>
          <w:rFonts w:ascii="Arial" w:hAnsi="Arial" w:cs="Arial"/>
          <w:color w:val="000000"/>
          <w:sz w:val="20"/>
          <w:szCs w:val="20"/>
        </w:rPr>
        <w:t xml:space="preserve">Physically segregate damaged slow-moving or obsolete merchandise from other merchandise. Identify these items separately on the Inventory Count Sheet. </w:t>
      </w:r>
    </w:p>
    <w:p w14:paraId="1E5D741E" w14:textId="77777777" w:rsidR="00F7173A" w:rsidRPr="008805AE" w:rsidRDefault="00F7173A" w:rsidP="006F3ACC">
      <w:pPr>
        <w:pStyle w:val="ListParagraph"/>
        <w:numPr>
          <w:ilvl w:val="0"/>
          <w:numId w:val="3"/>
        </w:numPr>
        <w:shd w:val="clear" w:color="auto" w:fill="FFFFFF"/>
        <w:spacing w:before="100" w:beforeAutospacing="1" w:after="120" w:line="240" w:lineRule="auto"/>
        <w:contextualSpacing w:val="0"/>
        <w:rPr>
          <w:rFonts w:ascii="Arial" w:hAnsi="Arial" w:cs="Arial"/>
          <w:color w:val="000000"/>
          <w:sz w:val="20"/>
          <w:szCs w:val="20"/>
        </w:rPr>
      </w:pPr>
      <w:r w:rsidRPr="008805AE">
        <w:rPr>
          <w:rFonts w:ascii="Arial" w:hAnsi="Arial" w:cs="Arial"/>
          <w:color w:val="000000"/>
          <w:sz w:val="20"/>
          <w:szCs w:val="20"/>
        </w:rPr>
        <w:t xml:space="preserve">Physically segregate consumable material or merchandise in University custody but not owned by the </w:t>
      </w:r>
      <w:r>
        <w:rPr>
          <w:rFonts w:ascii="Arial" w:hAnsi="Arial" w:cs="Arial"/>
          <w:color w:val="000000"/>
          <w:sz w:val="20"/>
          <w:szCs w:val="20"/>
        </w:rPr>
        <w:t>U</w:t>
      </w:r>
      <w:r w:rsidRPr="008805AE">
        <w:rPr>
          <w:rFonts w:ascii="Arial" w:hAnsi="Arial" w:cs="Arial"/>
          <w:color w:val="000000"/>
          <w:sz w:val="20"/>
          <w:szCs w:val="20"/>
        </w:rPr>
        <w:t xml:space="preserve">niversity. Report these items separately as "non-owned property on hand". The value is shown for insurance purposes; however, the value will not be reflected in </w:t>
      </w:r>
      <w:r>
        <w:rPr>
          <w:rFonts w:ascii="Arial" w:hAnsi="Arial" w:cs="Arial"/>
          <w:color w:val="000000"/>
          <w:sz w:val="20"/>
          <w:szCs w:val="20"/>
        </w:rPr>
        <w:t>U</w:t>
      </w:r>
      <w:r w:rsidRPr="008805AE">
        <w:rPr>
          <w:rFonts w:ascii="Arial" w:hAnsi="Arial" w:cs="Arial"/>
          <w:color w:val="000000"/>
          <w:sz w:val="20"/>
          <w:szCs w:val="20"/>
        </w:rPr>
        <w:t xml:space="preserve">niversity accounting and financial records. </w:t>
      </w:r>
    </w:p>
    <w:p w14:paraId="023C6584" w14:textId="77777777" w:rsidR="00F7173A" w:rsidRPr="008805AE" w:rsidRDefault="00E91BD0" w:rsidP="006F3ACC">
      <w:pPr>
        <w:pStyle w:val="ListParagraph"/>
        <w:numPr>
          <w:ilvl w:val="0"/>
          <w:numId w:val="2"/>
        </w:numPr>
        <w:shd w:val="clear" w:color="auto" w:fill="FFFFFF"/>
        <w:spacing w:after="120" w:line="240" w:lineRule="auto"/>
        <w:ind w:left="994"/>
        <w:rPr>
          <w:rFonts w:ascii="Arial" w:hAnsi="Arial" w:cs="Arial"/>
          <w:color w:val="000000"/>
          <w:sz w:val="20"/>
          <w:szCs w:val="20"/>
        </w:rPr>
      </w:pPr>
      <w:bookmarkStart w:id="3" w:name="yec"/>
      <w:r w:rsidRPr="008805AE">
        <w:rPr>
          <w:rFonts w:ascii="Arial" w:hAnsi="Arial" w:cs="Arial"/>
          <w:b/>
          <w:bCs/>
          <w:color w:val="000000"/>
          <w:sz w:val="20"/>
          <w:szCs w:val="20"/>
        </w:rPr>
        <w:t>Year-end</w:t>
      </w:r>
      <w:r w:rsidR="00F7173A" w:rsidRPr="008805AE">
        <w:rPr>
          <w:rFonts w:ascii="Arial" w:hAnsi="Arial" w:cs="Arial"/>
          <w:b/>
          <w:bCs/>
          <w:color w:val="000000"/>
          <w:sz w:val="20"/>
          <w:szCs w:val="20"/>
        </w:rPr>
        <w:t xml:space="preserve"> cut-off</w:t>
      </w:r>
      <w:bookmarkEnd w:id="3"/>
      <w:r w:rsidR="00F7173A" w:rsidRPr="008805AE">
        <w:rPr>
          <w:rFonts w:ascii="Arial" w:hAnsi="Arial" w:cs="Arial"/>
          <w:color w:val="000000"/>
          <w:sz w:val="20"/>
          <w:szCs w:val="20"/>
        </w:rPr>
        <w:t xml:space="preserve"> </w:t>
      </w:r>
    </w:p>
    <w:p w14:paraId="620F186C" w14:textId="77777777" w:rsidR="00F7173A" w:rsidRDefault="00F7173A" w:rsidP="006F3ACC">
      <w:pPr>
        <w:pStyle w:val="NormalWeb"/>
        <w:numPr>
          <w:ilvl w:val="0"/>
          <w:numId w:val="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Inventory count must be taken as near to June 30 as possible</w:t>
      </w:r>
      <w:r w:rsidR="001E7B47">
        <w:rPr>
          <w:rFonts w:ascii="Arial" w:hAnsi="Arial" w:cs="Arial"/>
          <w:color w:val="000000"/>
          <w:sz w:val="20"/>
          <w:szCs w:val="20"/>
        </w:rPr>
        <w:t xml:space="preserve"> unless as noted above</w:t>
      </w:r>
      <w:r>
        <w:rPr>
          <w:rFonts w:ascii="Arial" w:hAnsi="Arial" w:cs="Arial"/>
          <w:color w:val="000000"/>
          <w:sz w:val="20"/>
          <w:szCs w:val="20"/>
        </w:rPr>
        <w:t xml:space="preserve">. If the size of the inventory requires several days to complete the count, make provisions to adjust the count to consider receipts and issues from the time count is started until close of business </w:t>
      </w:r>
      <w:r w:rsidR="001E7B47">
        <w:rPr>
          <w:rFonts w:ascii="Arial" w:hAnsi="Arial" w:cs="Arial"/>
          <w:color w:val="000000"/>
          <w:sz w:val="20"/>
          <w:szCs w:val="20"/>
        </w:rPr>
        <w:t>(in most cases)</w:t>
      </w:r>
      <w:r>
        <w:rPr>
          <w:rFonts w:ascii="Arial" w:hAnsi="Arial" w:cs="Arial"/>
          <w:color w:val="000000"/>
          <w:sz w:val="20"/>
          <w:szCs w:val="20"/>
        </w:rPr>
        <w:t>.</w:t>
      </w:r>
    </w:p>
    <w:p w14:paraId="7828CC29" w14:textId="77777777" w:rsidR="00F7173A" w:rsidRDefault="00F7173A" w:rsidP="006F3ACC">
      <w:pPr>
        <w:pStyle w:val="NormalWeb"/>
        <w:numPr>
          <w:ilvl w:val="0"/>
          <w:numId w:val="8"/>
        </w:numPr>
        <w:shd w:val="clear" w:color="auto" w:fill="FFFFFF"/>
        <w:spacing w:after="120" w:afterAutospacing="0"/>
        <w:rPr>
          <w:rFonts w:ascii="Arial" w:hAnsi="Arial" w:cs="Arial"/>
          <w:color w:val="000000"/>
          <w:sz w:val="20"/>
          <w:szCs w:val="20"/>
        </w:rPr>
      </w:pPr>
      <w:r>
        <w:rPr>
          <w:rFonts w:ascii="Arial" w:hAnsi="Arial" w:cs="Arial"/>
          <w:color w:val="000000"/>
          <w:sz w:val="20"/>
          <w:szCs w:val="20"/>
        </w:rPr>
        <w:t>Instruct suppliers and/or Central Receiving that deliveries to the inventory location must not be made on the day(s) during which the physical counts are being made.</w:t>
      </w:r>
    </w:p>
    <w:p w14:paraId="502D4B70" w14:textId="77777777" w:rsidR="00F7173A" w:rsidRDefault="00F7173A" w:rsidP="006F3ACC">
      <w:pPr>
        <w:pStyle w:val="NormalWeb"/>
        <w:numPr>
          <w:ilvl w:val="0"/>
          <w:numId w:val="8"/>
        </w:numPr>
        <w:shd w:val="clear" w:color="auto" w:fill="FFFFFF"/>
        <w:spacing w:after="120" w:afterAutospacing="0"/>
        <w:rPr>
          <w:rFonts w:ascii="Arial" w:hAnsi="Arial" w:cs="Arial"/>
          <w:color w:val="000000"/>
          <w:sz w:val="20"/>
          <w:szCs w:val="20"/>
        </w:rPr>
      </w:pPr>
      <w:r>
        <w:rPr>
          <w:rFonts w:ascii="Arial" w:hAnsi="Arial" w:cs="Arial"/>
          <w:color w:val="000000"/>
          <w:sz w:val="20"/>
          <w:szCs w:val="20"/>
        </w:rPr>
        <w:t xml:space="preserve">Segregate all merchandise received after the count starts, but before close of business </w:t>
      </w:r>
      <w:r w:rsidR="001E7B47">
        <w:rPr>
          <w:rFonts w:ascii="Arial" w:hAnsi="Arial" w:cs="Arial"/>
          <w:color w:val="000000"/>
          <w:sz w:val="20"/>
          <w:szCs w:val="20"/>
        </w:rPr>
        <w:t xml:space="preserve">(in most cases </w:t>
      </w:r>
      <w:r>
        <w:rPr>
          <w:rFonts w:ascii="Arial" w:hAnsi="Arial" w:cs="Arial"/>
          <w:color w:val="000000"/>
          <w:sz w:val="20"/>
          <w:szCs w:val="20"/>
        </w:rPr>
        <w:t>on June 30</w:t>
      </w:r>
      <w:r w:rsidR="001E7B47">
        <w:rPr>
          <w:rFonts w:ascii="Arial" w:hAnsi="Arial" w:cs="Arial"/>
          <w:color w:val="000000"/>
          <w:sz w:val="20"/>
          <w:szCs w:val="20"/>
        </w:rPr>
        <w:t>)</w:t>
      </w:r>
      <w:r>
        <w:rPr>
          <w:rFonts w:ascii="Arial" w:hAnsi="Arial" w:cs="Arial"/>
          <w:color w:val="000000"/>
          <w:sz w:val="20"/>
          <w:szCs w:val="20"/>
        </w:rPr>
        <w:t>, and list it on a separate Inventory Count Sheet noted as "Supplemental Inventory". Include (1) merchandise description, (2) supplier or vendor, (3) date of receipt, (4) value of merchandise and (5) vendor invoice date and number. The invoices pertaining to this merchandise are to be marked "Before Inventory" and submitted promptly for payment. If this merchandise is immediately issued or consumed, include an explanation.</w:t>
      </w:r>
    </w:p>
    <w:p w14:paraId="74B3DBFB" w14:textId="77777777" w:rsidR="00F7173A" w:rsidRPr="008805AE" w:rsidRDefault="00F7173A" w:rsidP="006F3ACC">
      <w:pPr>
        <w:pStyle w:val="ListParagraph"/>
        <w:numPr>
          <w:ilvl w:val="0"/>
          <w:numId w:val="2"/>
        </w:numPr>
        <w:shd w:val="clear" w:color="auto" w:fill="FFFFFF"/>
        <w:spacing w:after="120" w:line="240" w:lineRule="auto"/>
        <w:ind w:left="994"/>
        <w:contextualSpacing w:val="0"/>
        <w:rPr>
          <w:rFonts w:ascii="Arial" w:hAnsi="Arial" w:cs="Arial"/>
          <w:color w:val="000000"/>
          <w:sz w:val="20"/>
          <w:szCs w:val="20"/>
        </w:rPr>
      </w:pPr>
      <w:bookmarkStart w:id="4" w:name="persl"/>
      <w:r w:rsidRPr="008805AE">
        <w:rPr>
          <w:rFonts w:ascii="Arial" w:hAnsi="Arial" w:cs="Arial"/>
          <w:b/>
          <w:bCs/>
          <w:color w:val="000000"/>
          <w:sz w:val="20"/>
          <w:szCs w:val="20"/>
        </w:rPr>
        <w:t>Personnel</w:t>
      </w:r>
      <w:bookmarkEnd w:id="4"/>
      <w:r w:rsidRPr="008805AE">
        <w:rPr>
          <w:rFonts w:ascii="Arial" w:hAnsi="Arial" w:cs="Arial"/>
          <w:color w:val="000000"/>
          <w:sz w:val="20"/>
          <w:szCs w:val="20"/>
        </w:rPr>
        <w:t xml:space="preserve"> </w:t>
      </w:r>
    </w:p>
    <w:p w14:paraId="330B1349" w14:textId="77777777" w:rsidR="00F7173A" w:rsidRPr="00952714" w:rsidRDefault="00F7173A" w:rsidP="006F3ACC">
      <w:pPr>
        <w:pStyle w:val="ListParagraph"/>
        <w:numPr>
          <w:ilvl w:val="0"/>
          <w:numId w:val="4"/>
        </w:numPr>
        <w:shd w:val="clear" w:color="auto" w:fill="FFFFFF"/>
        <w:spacing w:after="120" w:line="240" w:lineRule="auto"/>
        <w:contextualSpacing w:val="0"/>
        <w:rPr>
          <w:rFonts w:ascii="Arial" w:hAnsi="Arial" w:cs="Arial"/>
          <w:color w:val="000000"/>
          <w:sz w:val="20"/>
          <w:szCs w:val="20"/>
        </w:rPr>
      </w:pPr>
      <w:r w:rsidRPr="00952714">
        <w:rPr>
          <w:rFonts w:ascii="Arial" w:hAnsi="Arial" w:cs="Arial"/>
          <w:color w:val="000000"/>
          <w:sz w:val="20"/>
          <w:szCs w:val="20"/>
        </w:rPr>
        <w:t xml:space="preserve">The persons performing the physical counts must be familiar with the merchandise being inventoried, but (to the extent possible) not directly associated with the inventory function. </w:t>
      </w:r>
    </w:p>
    <w:p w14:paraId="4AEFAEF6" w14:textId="77777777" w:rsidR="00F7173A" w:rsidRPr="00952714" w:rsidRDefault="00F7173A" w:rsidP="006F3ACC">
      <w:pPr>
        <w:pStyle w:val="ListParagraph"/>
        <w:numPr>
          <w:ilvl w:val="0"/>
          <w:numId w:val="4"/>
        </w:numPr>
        <w:shd w:val="clear" w:color="auto" w:fill="FFFFFF"/>
        <w:spacing w:before="100" w:beforeAutospacing="1" w:after="120" w:line="240" w:lineRule="auto"/>
        <w:contextualSpacing w:val="0"/>
        <w:rPr>
          <w:rFonts w:ascii="Arial" w:hAnsi="Arial" w:cs="Arial"/>
          <w:color w:val="000000"/>
          <w:sz w:val="20"/>
          <w:szCs w:val="20"/>
        </w:rPr>
      </w:pPr>
      <w:r w:rsidRPr="00952714">
        <w:rPr>
          <w:rFonts w:ascii="Arial" w:hAnsi="Arial" w:cs="Arial"/>
          <w:color w:val="000000"/>
          <w:sz w:val="20"/>
          <w:szCs w:val="20"/>
        </w:rPr>
        <w:t xml:space="preserve">The persons performing the physical counts should work in pairs whenever possible-one person counting, the other person recording the counts. </w:t>
      </w:r>
    </w:p>
    <w:p w14:paraId="6817EC3B" w14:textId="78E30BF9" w:rsidR="00F7173A" w:rsidRDefault="00F7173A" w:rsidP="003712AF">
      <w:pPr>
        <w:pStyle w:val="ListParagraph"/>
        <w:numPr>
          <w:ilvl w:val="0"/>
          <w:numId w:val="4"/>
        </w:numPr>
        <w:shd w:val="clear" w:color="auto" w:fill="FFFFFF"/>
        <w:spacing w:before="100" w:beforeAutospacing="1" w:after="120" w:line="240" w:lineRule="auto"/>
        <w:contextualSpacing w:val="0"/>
        <w:rPr>
          <w:rFonts w:ascii="Arial" w:hAnsi="Arial" w:cs="Arial"/>
          <w:color w:val="000000"/>
          <w:sz w:val="20"/>
          <w:szCs w:val="20"/>
        </w:rPr>
      </w:pPr>
      <w:r w:rsidRPr="00952714">
        <w:rPr>
          <w:rFonts w:ascii="Arial" w:hAnsi="Arial" w:cs="Arial"/>
          <w:color w:val="000000"/>
          <w:sz w:val="20"/>
          <w:szCs w:val="20"/>
        </w:rPr>
        <w:t>Assign personnel to count specific areas. Th</w:t>
      </w:r>
      <w:r>
        <w:rPr>
          <w:rFonts w:ascii="Arial" w:hAnsi="Arial" w:cs="Arial"/>
          <w:color w:val="000000"/>
          <w:sz w:val="20"/>
          <w:szCs w:val="20"/>
        </w:rPr>
        <w:t>e</w:t>
      </w:r>
      <w:r w:rsidRPr="00952714">
        <w:rPr>
          <w:rFonts w:ascii="Arial" w:hAnsi="Arial" w:cs="Arial"/>
          <w:color w:val="000000"/>
          <w:sz w:val="20"/>
          <w:szCs w:val="20"/>
        </w:rPr>
        <w:t xml:space="preserve"> assignment of personnel is essential to prevent counting some areas more than once and other areas not at all.</w:t>
      </w:r>
    </w:p>
    <w:p w14:paraId="394F3FED" w14:textId="5BBEA116" w:rsidR="003712AF" w:rsidRDefault="003712AF" w:rsidP="003712AF">
      <w:pPr>
        <w:shd w:val="clear" w:color="auto" w:fill="FFFFFF"/>
        <w:spacing w:before="100" w:beforeAutospacing="1" w:after="120" w:line="240" w:lineRule="auto"/>
        <w:rPr>
          <w:rFonts w:ascii="Arial" w:hAnsi="Arial" w:cs="Arial"/>
          <w:color w:val="000000"/>
          <w:sz w:val="20"/>
          <w:szCs w:val="20"/>
        </w:rPr>
      </w:pPr>
    </w:p>
    <w:p w14:paraId="3B36BC28" w14:textId="77777777" w:rsidR="003712AF" w:rsidRPr="003712AF" w:rsidRDefault="003712AF" w:rsidP="003712AF">
      <w:pPr>
        <w:shd w:val="clear" w:color="auto" w:fill="FFFFFF"/>
        <w:spacing w:before="100" w:beforeAutospacing="1" w:after="120" w:line="240" w:lineRule="auto"/>
        <w:rPr>
          <w:rFonts w:ascii="Arial" w:hAnsi="Arial" w:cs="Arial"/>
          <w:color w:val="000000"/>
          <w:sz w:val="20"/>
          <w:szCs w:val="20"/>
        </w:rPr>
      </w:pPr>
    </w:p>
    <w:p w14:paraId="78CE7D9B" w14:textId="77777777" w:rsidR="00F7173A" w:rsidRPr="008805AE" w:rsidRDefault="00F7173A" w:rsidP="006F3ACC">
      <w:pPr>
        <w:pStyle w:val="ListParagraph"/>
        <w:numPr>
          <w:ilvl w:val="0"/>
          <w:numId w:val="2"/>
        </w:numPr>
        <w:shd w:val="clear" w:color="auto" w:fill="FFFFFF"/>
        <w:spacing w:after="120" w:line="240" w:lineRule="auto"/>
        <w:ind w:left="994"/>
        <w:contextualSpacing w:val="0"/>
        <w:rPr>
          <w:rFonts w:ascii="Arial" w:hAnsi="Arial" w:cs="Arial"/>
          <w:color w:val="000000"/>
          <w:sz w:val="20"/>
          <w:szCs w:val="20"/>
        </w:rPr>
      </w:pPr>
      <w:bookmarkStart w:id="5" w:name="iocm"/>
      <w:r w:rsidRPr="008805AE">
        <w:rPr>
          <w:rFonts w:ascii="Arial" w:hAnsi="Arial" w:cs="Arial"/>
          <w:b/>
          <w:bCs/>
          <w:color w:val="000000"/>
          <w:sz w:val="20"/>
          <w:szCs w:val="20"/>
        </w:rPr>
        <w:lastRenderedPageBreak/>
        <w:t>Identification of consumables or merchandise</w:t>
      </w:r>
      <w:bookmarkEnd w:id="5"/>
      <w:r w:rsidRPr="008805AE">
        <w:rPr>
          <w:rFonts w:ascii="Arial" w:hAnsi="Arial" w:cs="Arial"/>
          <w:color w:val="000000"/>
          <w:sz w:val="20"/>
          <w:szCs w:val="20"/>
        </w:rPr>
        <w:t xml:space="preserve"> </w:t>
      </w:r>
    </w:p>
    <w:p w14:paraId="24B58BE9" w14:textId="77777777" w:rsidR="00F7173A" w:rsidRPr="00952714" w:rsidRDefault="00F7173A" w:rsidP="006F3ACC">
      <w:pPr>
        <w:pStyle w:val="ListParagraph"/>
        <w:numPr>
          <w:ilvl w:val="0"/>
          <w:numId w:val="5"/>
        </w:numPr>
        <w:shd w:val="clear" w:color="auto" w:fill="FFFFFF"/>
        <w:spacing w:after="120" w:line="240" w:lineRule="auto"/>
        <w:contextualSpacing w:val="0"/>
        <w:rPr>
          <w:rFonts w:ascii="Arial" w:hAnsi="Arial" w:cs="Arial"/>
          <w:color w:val="000000"/>
          <w:sz w:val="20"/>
          <w:szCs w:val="20"/>
        </w:rPr>
      </w:pPr>
      <w:r w:rsidRPr="00952714">
        <w:rPr>
          <w:rFonts w:ascii="Arial" w:hAnsi="Arial" w:cs="Arial"/>
          <w:color w:val="000000"/>
          <w:sz w:val="20"/>
          <w:szCs w:val="20"/>
        </w:rPr>
        <w:t xml:space="preserve">Describe merchandise on the Inventory Count Sheets concisely but in sufficient detail to specifically identify the items being counted. </w:t>
      </w:r>
    </w:p>
    <w:p w14:paraId="63C532FF" w14:textId="77777777" w:rsidR="00F7173A" w:rsidRPr="00952714" w:rsidRDefault="00F7173A" w:rsidP="006F3ACC">
      <w:pPr>
        <w:pStyle w:val="ListParagraph"/>
        <w:numPr>
          <w:ilvl w:val="0"/>
          <w:numId w:val="5"/>
        </w:numPr>
        <w:shd w:val="clear" w:color="auto" w:fill="FFFFFF"/>
        <w:spacing w:before="100" w:beforeAutospacing="1" w:after="120" w:line="240" w:lineRule="auto"/>
        <w:contextualSpacing w:val="0"/>
        <w:rPr>
          <w:rFonts w:ascii="Arial" w:hAnsi="Arial" w:cs="Arial"/>
          <w:color w:val="000000"/>
          <w:sz w:val="20"/>
          <w:szCs w:val="20"/>
        </w:rPr>
      </w:pPr>
      <w:r w:rsidRPr="00952714">
        <w:rPr>
          <w:rFonts w:ascii="Arial" w:hAnsi="Arial" w:cs="Arial"/>
          <w:color w:val="000000"/>
          <w:sz w:val="20"/>
          <w:szCs w:val="20"/>
        </w:rPr>
        <w:t xml:space="preserve">Indicate unit of measure on the Inventory Count Sheets--i.e. case of 24 cans, dozen, and each. Open cases or partially used bottles may not be counted unless not counting would materially affect the inventory value. If broken lots are included in the inventory, show these as a separate line item. </w:t>
      </w:r>
    </w:p>
    <w:p w14:paraId="1F425A2C" w14:textId="77777777" w:rsidR="00F7173A" w:rsidRPr="00952714" w:rsidRDefault="00F7173A" w:rsidP="006F3ACC">
      <w:pPr>
        <w:pStyle w:val="ListParagraph"/>
        <w:numPr>
          <w:ilvl w:val="0"/>
          <w:numId w:val="5"/>
        </w:numPr>
        <w:shd w:val="clear" w:color="auto" w:fill="FFFFFF"/>
        <w:spacing w:before="100" w:beforeAutospacing="1" w:after="120" w:line="240" w:lineRule="auto"/>
        <w:contextualSpacing w:val="0"/>
        <w:rPr>
          <w:rFonts w:ascii="Arial" w:hAnsi="Arial" w:cs="Arial"/>
          <w:color w:val="000000"/>
          <w:sz w:val="20"/>
          <w:szCs w:val="20"/>
        </w:rPr>
      </w:pPr>
      <w:r w:rsidRPr="00952714">
        <w:rPr>
          <w:rFonts w:ascii="Arial" w:hAnsi="Arial" w:cs="Arial"/>
          <w:color w:val="000000"/>
          <w:sz w:val="20"/>
          <w:szCs w:val="20"/>
        </w:rPr>
        <w:t xml:space="preserve">If material belongs to more than one </w:t>
      </w:r>
      <w:r w:rsidR="001E7B47">
        <w:rPr>
          <w:rFonts w:ascii="Arial" w:hAnsi="Arial" w:cs="Arial"/>
          <w:color w:val="000000"/>
          <w:sz w:val="20"/>
          <w:szCs w:val="20"/>
        </w:rPr>
        <w:t>account</w:t>
      </w:r>
      <w:r w:rsidRPr="00952714">
        <w:rPr>
          <w:rFonts w:ascii="Arial" w:hAnsi="Arial" w:cs="Arial"/>
          <w:color w:val="000000"/>
          <w:sz w:val="20"/>
          <w:szCs w:val="20"/>
        </w:rPr>
        <w:t>, separate Inventory Count Sheets must be submitted for each</w:t>
      </w:r>
      <w:r w:rsidR="001E7B47">
        <w:rPr>
          <w:rFonts w:ascii="Arial" w:hAnsi="Arial" w:cs="Arial"/>
          <w:color w:val="000000"/>
          <w:sz w:val="20"/>
          <w:szCs w:val="20"/>
        </w:rPr>
        <w:t xml:space="preserve"> account</w:t>
      </w:r>
      <w:r w:rsidRPr="00952714">
        <w:rPr>
          <w:rFonts w:ascii="Arial" w:hAnsi="Arial" w:cs="Arial"/>
          <w:color w:val="000000"/>
          <w:sz w:val="20"/>
          <w:szCs w:val="20"/>
        </w:rPr>
        <w:t xml:space="preserve"> involved. </w:t>
      </w:r>
    </w:p>
    <w:p w14:paraId="4F8A1549" w14:textId="77777777" w:rsidR="00F7173A" w:rsidRPr="00952714" w:rsidRDefault="00F7173A" w:rsidP="006F3ACC">
      <w:pPr>
        <w:pStyle w:val="ListParagraph"/>
        <w:numPr>
          <w:ilvl w:val="0"/>
          <w:numId w:val="5"/>
        </w:numPr>
        <w:shd w:val="clear" w:color="auto" w:fill="FFFFFF"/>
        <w:spacing w:before="100" w:beforeAutospacing="1" w:after="120" w:line="240" w:lineRule="auto"/>
        <w:contextualSpacing w:val="0"/>
        <w:rPr>
          <w:rFonts w:ascii="Arial" w:hAnsi="Arial" w:cs="Arial"/>
          <w:color w:val="000000"/>
          <w:sz w:val="20"/>
          <w:szCs w:val="20"/>
        </w:rPr>
      </w:pPr>
      <w:r w:rsidRPr="00952714">
        <w:rPr>
          <w:rFonts w:ascii="Arial" w:hAnsi="Arial" w:cs="Arial"/>
          <w:color w:val="000000"/>
          <w:sz w:val="20"/>
          <w:szCs w:val="20"/>
        </w:rPr>
        <w:t>Indicate any special condition of merchandise (used, repa</w:t>
      </w:r>
      <w:r>
        <w:rPr>
          <w:rFonts w:ascii="Arial" w:hAnsi="Arial" w:cs="Arial"/>
          <w:color w:val="000000"/>
          <w:sz w:val="20"/>
          <w:szCs w:val="20"/>
        </w:rPr>
        <w:t>i</w:t>
      </w:r>
      <w:r w:rsidRPr="00952714">
        <w:rPr>
          <w:rFonts w:ascii="Arial" w:hAnsi="Arial" w:cs="Arial"/>
          <w:color w:val="000000"/>
          <w:sz w:val="20"/>
          <w:szCs w:val="20"/>
        </w:rPr>
        <w:t xml:space="preserve">rable, damaged, etc.) on the Inventory Count Sheets. </w:t>
      </w:r>
    </w:p>
    <w:p w14:paraId="7F5F8069" w14:textId="77777777" w:rsidR="00F7173A" w:rsidRPr="008805AE" w:rsidRDefault="00F7173A" w:rsidP="006F3ACC">
      <w:pPr>
        <w:pStyle w:val="ListParagraph"/>
        <w:numPr>
          <w:ilvl w:val="0"/>
          <w:numId w:val="2"/>
        </w:numPr>
        <w:shd w:val="clear" w:color="auto" w:fill="FFFFFF"/>
        <w:spacing w:after="120" w:line="240" w:lineRule="auto"/>
        <w:ind w:left="994"/>
        <w:contextualSpacing w:val="0"/>
        <w:rPr>
          <w:rFonts w:ascii="Arial" w:hAnsi="Arial" w:cs="Arial"/>
          <w:color w:val="000000"/>
          <w:sz w:val="20"/>
          <w:szCs w:val="20"/>
        </w:rPr>
      </w:pPr>
      <w:bookmarkStart w:id="6" w:name="icst"/>
      <w:r w:rsidRPr="008805AE">
        <w:rPr>
          <w:rFonts w:ascii="Arial" w:hAnsi="Arial" w:cs="Arial"/>
          <w:b/>
          <w:bCs/>
          <w:color w:val="000000"/>
          <w:sz w:val="20"/>
          <w:szCs w:val="20"/>
        </w:rPr>
        <w:t>Inventory Count Sheets</w:t>
      </w:r>
      <w:bookmarkEnd w:id="6"/>
      <w:r w:rsidRPr="008805AE">
        <w:rPr>
          <w:rFonts w:ascii="Arial" w:hAnsi="Arial" w:cs="Arial"/>
          <w:color w:val="000000"/>
          <w:sz w:val="20"/>
          <w:szCs w:val="20"/>
        </w:rPr>
        <w:t xml:space="preserve"> </w:t>
      </w:r>
    </w:p>
    <w:p w14:paraId="0DCE35C2" w14:textId="77777777" w:rsidR="00F7173A" w:rsidRPr="000D2929" w:rsidRDefault="00F7173A" w:rsidP="006F3ACC">
      <w:pPr>
        <w:pStyle w:val="ListParagraph"/>
        <w:numPr>
          <w:ilvl w:val="0"/>
          <w:numId w:val="6"/>
        </w:numPr>
        <w:shd w:val="clear" w:color="auto" w:fill="FFFFFF"/>
        <w:spacing w:after="120" w:line="240" w:lineRule="auto"/>
        <w:contextualSpacing w:val="0"/>
        <w:rPr>
          <w:rFonts w:ascii="Arial" w:hAnsi="Arial" w:cs="Arial"/>
          <w:color w:val="000000"/>
          <w:sz w:val="20"/>
          <w:szCs w:val="20"/>
        </w:rPr>
      </w:pPr>
      <w:r w:rsidRPr="000D2929">
        <w:rPr>
          <w:rFonts w:ascii="Arial" w:hAnsi="Arial" w:cs="Arial"/>
          <w:sz w:val="20"/>
          <w:szCs w:val="20"/>
        </w:rPr>
        <w:t xml:space="preserve">Inventory Count Sheets </w:t>
      </w:r>
      <w:r w:rsidRPr="00DE4119">
        <w:rPr>
          <w:rFonts w:ascii="Arial" w:hAnsi="Arial" w:cs="Arial"/>
          <w:sz w:val="20"/>
          <w:szCs w:val="20"/>
        </w:rPr>
        <w:t>-</w:t>
      </w:r>
      <w:r w:rsidRPr="00DE4119">
        <w:rPr>
          <w:rFonts w:ascii="Arial" w:hAnsi="Arial" w:cs="Arial"/>
          <w:color w:val="000000"/>
          <w:sz w:val="20"/>
          <w:szCs w:val="20"/>
        </w:rPr>
        <w:t xml:space="preserve"> </w:t>
      </w:r>
      <w:hyperlink r:id="rId7" w:history="1">
        <w:r w:rsidR="00DE4119" w:rsidRPr="00DE4119">
          <w:rPr>
            <w:rStyle w:val="Hyperlink"/>
            <w:rFonts w:ascii="Arial" w:hAnsi="Arial" w:cs="Arial"/>
            <w:sz w:val="20"/>
            <w:szCs w:val="20"/>
          </w:rPr>
          <w:t>http://busfin.colostate.edu/Resources/Forms.aspx</w:t>
        </w:r>
      </w:hyperlink>
      <w:r w:rsidR="00DE4119" w:rsidRPr="00DE4119">
        <w:rPr>
          <w:rFonts w:ascii="Arial" w:hAnsi="Arial" w:cs="Arial"/>
          <w:color w:val="000000"/>
          <w:sz w:val="20"/>
          <w:szCs w:val="20"/>
        </w:rPr>
        <w:t xml:space="preserve"> </w:t>
      </w:r>
      <w:r w:rsidRPr="00DE4119">
        <w:rPr>
          <w:rFonts w:ascii="Arial" w:hAnsi="Arial" w:cs="Arial"/>
          <w:color w:val="000000"/>
          <w:sz w:val="20"/>
          <w:szCs w:val="20"/>
        </w:rPr>
        <w:t>are</w:t>
      </w:r>
      <w:r w:rsidRPr="000D2929">
        <w:rPr>
          <w:rFonts w:ascii="Arial" w:hAnsi="Arial" w:cs="Arial"/>
          <w:color w:val="000000"/>
          <w:sz w:val="20"/>
          <w:szCs w:val="20"/>
        </w:rPr>
        <w:t xml:space="preserve"> available for use. Number the Inventory Count Sheets before starting the count (use the page number field) and control the</w:t>
      </w:r>
      <w:r w:rsidR="001E7B47">
        <w:rPr>
          <w:rFonts w:ascii="Arial" w:hAnsi="Arial" w:cs="Arial"/>
          <w:color w:val="000000"/>
          <w:sz w:val="20"/>
          <w:szCs w:val="20"/>
        </w:rPr>
        <w:t xml:space="preserve"> sheets by assigning blocks of s</w:t>
      </w:r>
      <w:r w:rsidRPr="000D2929">
        <w:rPr>
          <w:rFonts w:ascii="Arial" w:hAnsi="Arial" w:cs="Arial"/>
          <w:color w:val="000000"/>
          <w:sz w:val="20"/>
          <w:szCs w:val="20"/>
        </w:rPr>
        <w:t xml:space="preserve">heets to the persons making the physical counts. This is important to ensure that Inventory Count Sheets are accounted for at the end of the physical count. A computer listing or other preprinted list may be substituted for the Inventory Count Sheets. </w:t>
      </w:r>
    </w:p>
    <w:p w14:paraId="3AF0FF76" w14:textId="77777777" w:rsidR="00F7173A" w:rsidRPr="000D2929" w:rsidRDefault="00F7173A" w:rsidP="006F3ACC">
      <w:pPr>
        <w:pStyle w:val="ListParagraph"/>
        <w:numPr>
          <w:ilvl w:val="0"/>
          <w:numId w:val="6"/>
        </w:numPr>
        <w:shd w:val="clear" w:color="auto" w:fill="FFFFFF"/>
        <w:spacing w:before="100" w:beforeAutospacing="1" w:after="120"/>
        <w:contextualSpacing w:val="0"/>
        <w:rPr>
          <w:rFonts w:ascii="Arial" w:hAnsi="Arial" w:cs="Arial"/>
          <w:color w:val="000000"/>
          <w:sz w:val="20"/>
          <w:szCs w:val="20"/>
        </w:rPr>
      </w:pPr>
      <w:r w:rsidRPr="000D2929">
        <w:rPr>
          <w:rFonts w:ascii="Arial" w:hAnsi="Arial" w:cs="Arial"/>
          <w:color w:val="000000"/>
          <w:sz w:val="20"/>
          <w:szCs w:val="20"/>
        </w:rPr>
        <w:t xml:space="preserve">If preprinted lists are used, zero quantities must be shown prior to starting the count. </w:t>
      </w:r>
    </w:p>
    <w:p w14:paraId="4A851D3F" w14:textId="77777777" w:rsidR="00F7173A" w:rsidRPr="000D2929" w:rsidRDefault="00F7173A" w:rsidP="006F3ACC">
      <w:pPr>
        <w:pStyle w:val="ListParagraph"/>
        <w:numPr>
          <w:ilvl w:val="0"/>
          <w:numId w:val="6"/>
        </w:numPr>
        <w:shd w:val="clear" w:color="auto" w:fill="FFFFFF"/>
        <w:spacing w:before="100" w:beforeAutospacing="1" w:after="120" w:line="240" w:lineRule="auto"/>
        <w:contextualSpacing w:val="0"/>
        <w:rPr>
          <w:rFonts w:ascii="Arial" w:hAnsi="Arial" w:cs="Arial"/>
          <w:color w:val="000000"/>
          <w:sz w:val="20"/>
          <w:szCs w:val="20"/>
        </w:rPr>
      </w:pPr>
      <w:r w:rsidRPr="000D2929">
        <w:rPr>
          <w:rFonts w:ascii="Arial" w:hAnsi="Arial" w:cs="Arial"/>
          <w:color w:val="000000"/>
          <w:sz w:val="20"/>
          <w:szCs w:val="20"/>
        </w:rPr>
        <w:t xml:space="preserve">Each Inventory Count Sheet must be signed and dated by the person(s) making the physical counts. </w:t>
      </w:r>
    </w:p>
    <w:p w14:paraId="6FBFC962" w14:textId="77777777" w:rsidR="00F7173A" w:rsidRPr="000D2929" w:rsidRDefault="00F7173A" w:rsidP="006F3ACC">
      <w:pPr>
        <w:pStyle w:val="ListParagraph"/>
        <w:numPr>
          <w:ilvl w:val="0"/>
          <w:numId w:val="6"/>
        </w:numPr>
        <w:shd w:val="clear" w:color="auto" w:fill="FFFFFF"/>
        <w:spacing w:before="100" w:beforeAutospacing="1" w:after="120" w:line="240" w:lineRule="auto"/>
        <w:contextualSpacing w:val="0"/>
        <w:rPr>
          <w:rFonts w:ascii="Arial" w:hAnsi="Arial" w:cs="Arial"/>
          <w:color w:val="000000"/>
          <w:sz w:val="20"/>
          <w:szCs w:val="20"/>
        </w:rPr>
      </w:pPr>
      <w:r w:rsidRPr="000D2929">
        <w:rPr>
          <w:rFonts w:ascii="Arial" w:hAnsi="Arial" w:cs="Arial"/>
          <w:color w:val="000000"/>
          <w:sz w:val="20"/>
          <w:szCs w:val="20"/>
        </w:rPr>
        <w:t>Each Inventory Count Sheet must be com</w:t>
      </w:r>
      <w:r w:rsidR="001E7B47">
        <w:rPr>
          <w:rFonts w:ascii="Arial" w:hAnsi="Arial" w:cs="Arial"/>
          <w:color w:val="000000"/>
          <w:sz w:val="20"/>
          <w:szCs w:val="20"/>
        </w:rPr>
        <w:t>pletely filled in. When a full s</w:t>
      </w:r>
      <w:r w:rsidRPr="000D2929">
        <w:rPr>
          <w:rFonts w:ascii="Arial" w:hAnsi="Arial" w:cs="Arial"/>
          <w:color w:val="000000"/>
          <w:sz w:val="20"/>
          <w:szCs w:val="20"/>
        </w:rPr>
        <w:t xml:space="preserve">heet is </w:t>
      </w:r>
      <w:r w:rsidR="001E7B47">
        <w:rPr>
          <w:rFonts w:ascii="Arial" w:hAnsi="Arial" w:cs="Arial"/>
          <w:color w:val="000000"/>
          <w:sz w:val="20"/>
          <w:szCs w:val="20"/>
        </w:rPr>
        <w:t>not used, rule it off and mark it</w:t>
      </w:r>
      <w:r w:rsidRPr="000D2929">
        <w:rPr>
          <w:rFonts w:ascii="Arial" w:hAnsi="Arial" w:cs="Arial"/>
          <w:color w:val="000000"/>
          <w:sz w:val="20"/>
          <w:szCs w:val="20"/>
        </w:rPr>
        <w:t xml:space="preserve"> "end of area". </w:t>
      </w:r>
    </w:p>
    <w:p w14:paraId="2B9DAA17" w14:textId="77777777" w:rsidR="00F7173A" w:rsidRDefault="00F7173A" w:rsidP="006F3ACC">
      <w:pPr>
        <w:pStyle w:val="ListParagraph"/>
        <w:numPr>
          <w:ilvl w:val="0"/>
          <w:numId w:val="6"/>
        </w:numPr>
        <w:shd w:val="clear" w:color="auto" w:fill="FFFFFF"/>
        <w:spacing w:after="120" w:line="240" w:lineRule="auto"/>
        <w:contextualSpacing w:val="0"/>
        <w:rPr>
          <w:rFonts w:ascii="Arial" w:hAnsi="Arial" w:cs="Arial"/>
          <w:color w:val="000000"/>
          <w:sz w:val="20"/>
          <w:szCs w:val="20"/>
        </w:rPr>
      </w:pPr>
      <w:r w:rsidRPr="000D2929">
        <w:rPr>
          <w:rFonts w:ascii="Arial" w:hAnsi="Arial" w:cs="Arial"/>
          <w:color w:val="000000"/>
          <w:sz w:val="20"/>
          <w:szCs w:val="20"/>
        </w:rPr>
        <w:t>The individual responsible for the inventory must ensure that the physical counts are accurate. This may include verifying the accuracy of the recorded count. The count verifications must be made by persons other than the team doing the original count. These count verifications are independent from any test counts made by auditors or personnel from Campus Services</w:t>
      </w:r>
      <w:r w:rsidR="008769E5">
        <w:rPr>
          <w:rFonts w:ascii="Arial" w:hAnsi="Arial" w:cs="Arial"/>
          <w:color w:val="000000"/>
          <w:sz w:val="20"/>
          <w:szCs w:val="20"/>
        </w:rPr>
        <w:t>.</w:t>
      </w:r>
    </w:p>
    <w:p w14:paraId="5A930700" w14:textId="77777777" w:rsidR="00F7173A" w:rsidRDefault="00F7173A" w:rsidP="006F3ACC">
      <w:pPr>
        <w:pStyle w:val="ListParagraph"/>
        <w:numPr>
          <w:ilvl w:val="0"/>
          <w:numId w:val="2"/>
        </w:numPr>
        <w:shd w:val="clear" w:color="auto" w:fill="FFFFFF"/>
        <w:spacing w:after="120" w:line="240" w:lineRule="auto"/>
        <w:ind w:left="994"/>
        <w:contextualSpacing w:val="0"/>
        <w:rPr>
          <w:rFonts w:ascii="Arial" w:hAnsi="Arial" w:cs="Arial"/>
          <w:color w:val="000000"/>
          <w:sz w:val="20"/>
          <w:szCs w:val="20"/>
        </w:rPr>
      </w:pPr>
      <w:bookmarkStart w:id="7" w:name="vext"/>
      <w:r w:rsidRPr="008805AE">
        <w:rPr>
          <w:rStyle w:val="normbold1"/>
          <w:color w:val="000000"/>
        </w:rPr>
        <w:t>Value extensions</w:t>
      </w:r>
      <w:bookmarkEnd w:id="7"/>
      <w:r w:rsidR="000B0EB6">
        <w:rPr>
          <w:rStyle w:val="normbold1"/>
          <w:color w:val="000000"/>
        </w:rPr>
        <w:t xml:space="preserve"> -</w:t>
      </w:r>
      <w:r w:rsidRPr="008805AE">
        <w:rPr>
          <w:rFonts w:ascii="Arial" w:hAnsi="Arial" w:cs="Arial"/>
          <w:color w:val="000000"/>
          <w:sz w:val="20"/>
          <w:szCs w:val="20"/>
        </w:rPr>
        <w:t xml:space="preserve"> After the count has been recorded as outlined above, enter the value, total each page and the entire inventory. All calculations should be verified by a second individual. If a complete check is not possible, sufficient spot checks must be accomplished to ensure accuracy. </w:t>
      </w:r>
      <w:r w:rsidR="00B25371">
        <w:rPr>
          <w:rFonts w:ascii="Arial" w:hAnsi="Arial" w:cs="Arial"/>
          <w:color w:val="000000"/>
          <w:sz w:val="20"/>
          <w:szCs w:val="20"/>
        </w:rPr>
        <w:t>P</w:t>
      </w:r>
      <w:r w:rsidRPr="008805AE">
        <w:rPr>
          <w:rFonts w:ascii="Arial" w:hAnsi="Arial" w:cs="Arial"/>
          <w:color w:val="000000"/>
          <w:sz w:val="20"/>
          <w:szCs w:val="20"/>
        </w:rPr>
        <w:t xml:space="preserve">ersonnel making the </w:t>
      </w:r>
      <w:r w:rsidR="00B25371">
        <w:rPr>
          <w:rFonts w:ascii="Arial" w:hAnsi="Arial" w:cs="Arial"/>
          <w:color w:val="000000"/>
          <w:sz w:val="20"/>
          <w:szCs w:val="20"/>
        </w:rPr>
        <w:t>calculations</w:t>
      </w:r>
      <w:r w:rsidRPr="008805AE">
        <w:rPr>
          <w:rFonts w:ascii="Arial" w:hAnsi="Arial" w:cs="Arial"/>
          <w:color w:val="000000"/>
          <w:sz w:val="20"/>
          <w:szCs w:val="20"/>
        </w:rPr>
        <w:t xml:space="preserve"> and spot checks </w:t>
      </w:r>
      <w:r w:rsidR="00B25371">
        <w:rPr>
          <w:rFonts w:ascii="Arial" w:hAnsi="Arial" w:cs="Arial"/>
          <w:color w:val="000000"/>
          <w:sz w:val="20"/>
          <w:szCs w:val="20"/>
        </w:rPr>
        <w:t xml:space="preserve">should be identified </w:t>
      </w:r>
      <w:r w:rsidRPr="008805AE">
        <w:rPr>
          <w:rFonts w:ascii="Arial" w:hAnsi="Arial" w:cs="Arial"/>
          <w:color w:val="000000"/>
          <w:sz w:val="20"/>
          <w:szCs w:val="20"/>
        </w:rPr>
        <w:t xml:space="preserve">on the Inventory Count Sheets and the Inventory Certificate. </w:t>
      </w:r>
    </w:p>
    <w:p w14:paraId="55807240" w14:textId="77777777" w:rsidR="00F7173A" w:rsidRPr="0085329C" w:rsidRDefault="00F7173A" w:rsidP="006F3ACC">
      <w:pPr>
        <w:pStyle w:val="ListParagraph"/>
        <w:numPr>
          <w:ilvl w:val="0"/>
          <w:numId w:val="2"/>
        </w:numPr>
        <w:shd w:val="clear" w:color="auto" w:fill="FFFFFF"/>
        <w:spacing w:before="100" w:beforeAutospacing="1" w:after="120" w:line="240" w:lineRule="auto"/>
        <w:ind w:left="994"/>
        <w:contextualSpacing w:val="0"/>
        <w:rPr>
          <w:rFonts w:ascii="Arial" w:hAnsi="Arial" w:cs="Arial"/>
          <w:color w:val="000000"/>
          <w:sz w:val="20"/>
          <w:szCs w:val="20"/>
        </w:rPr>
      </w:pPr>
      <w:bookmarkStart w:id="8" w:name="ccdwr"/>
      <w:r w:rsidRPr="008805AE">
        <w:rPr>
          <w:rFonts w:ascii="Arial" w:hAnsi="Arial" w:cs="Arial"/>
          <w:b/>
          <w:bCs/>
          <w:color w:val="000000"/>
          <w:sz w:val="20"/>
          <w:szCs w:val="20"/>
        </w:rPr>
        <w:t>Comparisons of count data with records</w:t>
      </w:r>
      <w:r w:rsidR="000B0EB6">
        <w:rPr>
          <w:rFonts w:ascii="Arial" w:hAnsi="Arial" w:cs="Arial"/>
          <w:b/>
          <w:bCs/>
          <w:color w:val="000000"/>
          <w:sz w:val="20"/>
          <w:szCs w:val="20"/>
        </w:rPr>
        <w:t xml:space="preserve"> -</w:t>
      </w:r>
      <w:bookmarkEnd w:id="8"/>
      <w:r w:rsidRPr="008805AE">
        <w:rPr>
          <w:rFonts w:ascii="Arial" w:hAnsi="Arial" w:cs="Arial"/>
          <w:color w:val="000000"/>
          <w:sz w:val="20"/>
          <w:szCs w:val="20"/>
        </w:rPr>
        <w:t xml:space="preserve"> Upon completion of the physical inventory, compare the total item count and value obtained from the physical inventory with the item count and value according to the inventory tracking system</w:t>
      </w:r>
      <w:r w:rsidR="00B25371">
        <w:rPr>
          <w:rFonts w:ascii="Arial" w:hAnsi="Arial" w:cs="Arial"/>
          <w:color w:val="000000"/>
          <w:sz w:val="20"/>
          <w:szCs w:val="20"/>
        </w:rPr>
        <w:t xml:space="preserve"> (software)</w:t>
      </w:r>
      <w:r w:rsidRPr="008805AE">
        <w:rPr>
          <w:rFonts w:ascii="Arial" w:hAnsi="Arial" w:cs="Arial"/>
          <w:color w:val="000000"/>
          <w:sz w:val="20"/>
          <w:szCs w:val="20"/>
        </w:rPr>
        <w:t xml:space="preserve">. </w:t>
      </w:r>
      <w:r w:rsidRPr="0085329C">
        <w:rPr>
          <w:rFonts w:ascii="Arial" w:hAnsi="Arial" w:cs="Arial"/>
          <w:color w:val="000000"/>
          <w:sz w:val="20"/>
          <w:szCs w:val="20"/>
        </w:rPr>
        <w:t xml:space="preserve">Discrepancies of physical count versus recorded balances less than 5 percent of the total recorded quantity on hand (and less than 5 percent of the total value) must be noted by the inventory taker or clerk. Larger discrepancies must be rechecked and approved by a designated supervisor. The value of the inventory from physical count and recorded amount must match 100 percent for the Inventory Certificate. </w:t>
      </w:r>
    </w:p>
    <w:p w14:paraId="3BABE6A1" w14:textId="5B7937C7" w:rsidR="00F7173A" w:rsidRDefault="00F7173A" w:rsidP="003712AF">
      <w:pPr>
        <w:pStyle w:val="ListParagraph"/>
        <w:numPr>
          <w:ilvl w:val="0"/>
          <w:numId w:val="2"/>
        </w:numPr>
        <w:shd w:val="clear" w:color="auto" w:fill="FFFFFF"/>
        <w:spacing w:before="100" w:beforeAutospacing="1" w:after="100" w:afterAutospacing="1" w:line="240" w:lineRule="auto"/>
        <w:ind w:left="990"/>
        <w:rPr>
          <w:rFonts w:ascii="Arial" w:hAnsi="Arial" w:cs="Arial"/>
          <w:color w:val="000000"/>
          <w:sz w:val="20"/>
          <w:szCs w:val="20"/>
        </w:rPr>
      </w:pPr>
      <w:bookmarkStart w:id="9" w:name="sac"/>
      <w:r w:rsidRPr="008805AE">
        <w:rPr>
          <w:rFonts w:ascii="Arial" w:hAnsi="Arial" w:cs="Arial"/>
          <w:b/>
          <w:bCs/>
          <w:color w:val="000000"/>
          <w:sz w:val="20"/>
          <w:szCs w:val="20"/>
        </w:rPr>
        <w:t>Inventory summary and certificate</w:t>
      </w:r>
      <w:r w:rsidR="000B0EB6">
        <w:rPr>
          <w:rFonts w:ascii="Arial" w:hAnsi="Arial" w:cs="Arial"/>
          <w:b/>
          <w:bCs/>
          <w:color w:val="000000"/>
          <w:sz w:val="20"/>
          <w:szCs w:val="20"/>
        </w:rPr>
        <w:t xml:space="preserve"> -</w:t>
      </w:r>
      <w:bookmarkEnd w:id="9"/>
      <w:r w:rsidRPr="008805AE">
        <w:rPr>
          <w:rFonts w:ascii="Arial" w:hAnsi="Arial" w:cs="Arial"/>
          <w:color w:val="000000"/>
          <w:sz w:val="20"/>
          <w:szCs w:val="20"/>
        </w:rPr>
        <w:t xml:space="preserve"> Enter the totals from each Inventory Count Sheet onto the </w:t>
      </w:r>
      <w:r w:rsidRPr="008805AE">
        <w:rPr>
          <w:rFonts w:ascii="Arial" w:hAnsi="Arial" w:cs="Arial"/>
          <w:sz w:val="20"/>
          <w:szCs w:val="20"/>
        </w:rPr>
        <w:t>Inventory Count Sheet Summary -</w:t>
      </w:r>
      <w:r w:rsidR="00F85DAF" w:rsidRPr="00F85DAF">
        <w:t xml:space="preserve"> </w:t>
      </w:r>
      <w:hyperlink r:id="rId8" w:history="1">
        <w:r w:rsidR="00DE4119" w:rsidRPr="006852E9">
          <w:rPr>
            <w:rStyle w:val="Hyperlink"/>
            <w:rFonts w:ascii="Arial" w:hAnsi="Arial" w:cs="Arial"/>
            <w:sz w:val="20"/>
            <w:szCs w:val="20"/>
          </w:rPr>
          <w:t>http://busfin.colostate.edu/Resources/Forms.aspx</w:t>
        </w:r>
      </w:hyperlink>
      <w:r w:rsidR="00F85DAF" w:rsidRPr="00DE4119">
        <w:rPr>
          <w:rFonts w:ascii="Arial" w:hAnsi="Arial" w:cs="Arial"/>
          <w:color w:val="000000"/>
          <w:sz w:val="20"/>
          <w:szCs w:val="20"/>
        </w:rPr>
        <w:t>.</w:t>
      </w:r>
      <w:r w:rsidRPr="00DE4119">
        <w:rPr>
          <w:rFonts w:ascii="Arial" w:hAnsi="Arial" w:cs="Arial"/>
          <w:color w:val="000000"/>
          <w:sz w:val="20"/>
          <w:szCs w:val="20"/>
        </w:rPr>
        <w:t xml:space="preserve"> </w:t>
      </w:r>
      <w:r w:rsidRPr="008805AE">
        <w:rPr>
          <w:rFonts w:ascii="Arial" w:hAnsi="Arial" w:cs="Arial"/>
          <w:color w:val="000000"/>
          <w:sz w:val="20"/>
          <w:szCs w:val="20"/>
        </w:rPr>
        <w:t xml:space="preserve">Calculate and enter the grand total for the inventory. </w:t>
      </w:r>
      <w:r w:rsidR="00B25371">
        <w:rPr>
          <w:rFonts w:ascii="Arial" w:hAnsi="Arial" w:cs="Arial"/>
          <w:color w:val="000000"/>
          <w:sz w:val="20"/>
          <w:szCs w:val="20"/>
        </w:rPr>
        <w:t>Complete and attach an Inventory Certificate</w:t>
      </w:r>
      <w:r w:rsidRPr="008805AE">
        <w:rPr>
          <w:rFonts w:ascii="Arial" w:hAnsi="Arial" w:cs="Arial"/>
          <w:sz w:val="20"/>
          <w:szCs w:val="20"/>
        </w:rPr>
        <w:t xml:space="preserve"> </w:t>
      </w:r>
      <w:r w:rsidRPr="00DE4119">
        <w:rPr>
          <w:rFonts w:ascii="Arial" w:hAnsi="Arial" w:cs="Arial"/>
          <w:sz w:val="20"/>
          <w:szCs w:val="20"/>
        </w:rPr>
        <w:t>-</w:t>
      </w:r>
      <w:r w:rsidR="00DE4119" w:rsidRPr="006852E9">
        <w:rPr>
          <w:rFonts w:ascii="Arial" w:hAnsi="Arial" w:cs="Arial"/>
          <w:sz w:val="20"/>
          <w:szCs w:val="20"/>
        </w:rPr>
        <w:t xml:space="preserve"> </w:t>
      </w:r>
      <w:hyperlink r:id="rId9" w:history="1">
        <w:r w:rsidR="00DE4119" w:rsidRPr="00DE4119">
          <w:rPr>
            <w:rStyle w:val="Hyperlink"/>
            <w:rFonts w:ascii="Arial" w:hAnsi="Arial" w:cs="Arial"/>
            <w:sz w:val="20"/>
            <w:szCs w:val="20"/>
          </w:rPr>
          <w:t>http://busfin.colostate.edu/Resources/Forms.aspx</w:t>
        </w:r>
      </w:hyperlink>
      <w:r w:rsidRPr="008805AE">
        <w:rPr>
          <w:rFonts w:ascii="Arial" w:hAnsi="Arial" w:cs="Arial"/>
          <w:sz w:val="20"/>
          <w:szCs w:val="20"/>
        </w:rPr>
        <w:t xml:space="preserve"> </w:t>
      </w:r>
      <w:r w:rsidR="00B25371">
        <w:rPr>
          <w:rFonts w:ascii="Arial" w:hAnsi="Arial" w:cs="Arial"/>
          <w:color w:val="000000"/>
          <w:sz w:val="20"/>
          <w:szCs w:val="20"/>
        </w:rPr>
        <w:t>to the Inventory Count Sheets (or computer listing) and Summary Sheet.  Submit the inventory packet to Campus Services by the due date published annuall</w:t>
      </w:r>
      <w:r w:rsidR="0085329C">
        <w:rPr>
          <w:rFonts w:ascii="Arial" w:hAnsi="Arial" w:cs="Arial"/>
          <w:color w:val="000000"/>
          <w:sz w:val="20"/>
          <w:szCs w:val="20"/>
        </w:rPr>
        <w:t xml:space="preserve">y in the year-end instructions </w:t>
      </w:r>
      <w:r w:rsidR="00B25371">
        <w:rPr>
          <w:rFonts w:ascii="Arial" w:hAnsi="Arial" w:cs="Arial"/>
          <w:color w:val="000000"/>
          <w:sz w:val="20"/>
          <w:szCs w:val="20"/>
        </w:rPr>
        <w:t>by BFS</w:t>
      </w:r>
      <w:r w:rsidRPr="008805AE">
        <w:rPr>
          <w:rFonts w:ascii="Arial" w:hAnsi="Arial" w:cs="Arial"/>
          <w:color w:val="000000"/>
          <w:sz w:val="20"/>
          <w:szCs w:val="20"/>
        </w:rPr>
        <w:t xml:space="preserve">. Submit separate inventory </w:t>
      </w:r>
      <w:r w:rsidR="003A5DE9">
        <w:rPr>
          <w:rFonts w:ascii="Arial" w:hAnsi="Arial" w:cs="Arial"/>
          <w:color w:val="000000"/>
          <w:sz w:val="20"/>
          <w:szCs w:val="20"/>
        </w:rPr>
        <w:t>certificate</w:t>
      </w:r>
      <w:r w:rsidRPr="008805AE">
        <w:rPr>
          <w:rFonts w:ascii="Arial" w:hAnsi="Arial" w:cs="Arial"/>
          <w:color w:val="000000"/>
          <w:sz w:val="20"/>
          <w:szCs w:val="20"/>
        </w:rPr>
        <w:t xml:space="preserve"> for each </w:t>
      </w:r>
      <w:r w:rsidR="0085329C">
        <w:rPr>
          <w:rFonts w:ascii="Arial" w:hAnsi="Arial" w:cs="Arial"/>
          <w:color w:val="000000"/>
          <w:sz w:val="20"/>
          <w:szCs w:val="20"/>
        </w:rPr>
        <w:t>account</w:t>
      </w:r>
      <w:r w:rsidRPr="008805AE">
        <w:rPr>
          <w:rFonts w:ascii="Arial" w:hAnsi="Arial" w:cs="Arial"/>
          <w:color w:val="000000"/>
          <w:sz w:val="20"/>
          <w:szCs w:val="20"/>
        </w:rPr>
        <w:t xml:space="preserve"> involved.</w:t>
      </w:r>
      <w:r w:rsidR="0085329C">
        <w:rPr>
          <w:rFonts w:ascii="Arial" w:hAnsi="Arial" w:cs="Arial"/>
          <w:color w:val="000000"/>
          <w:sz w:val="20"/>
          <w:szCs w:val="20"/>
        </w:rPr>
        <w:t xml:space="preserve"> The Inventory Certificate should agree to the value of the inventory recorded in the Kuali Financial System at year end.</w:t>
      </w:r>
    </w:p>
    <w:p w14:paraId="5CF86586" w14:textId="77777777" w:rsidR="003712AF" w:rsidRDefault="00E44B70" w:rsidP="00F85DAF">
      <w:pPr>
        <w:pStyle w:val="ListParagraph"/>
        <w:shd w:val="clear" w:color="auto" w:fill="FFFFFF"/>
        <w:spacing w:before="100" w:beforeAutospacing="1" w:after="0" w:line="240" w:lineRule="auto"/>
        <w:ind w:left="0"/>
        <w:rPr>
          <w:rFonts w:ascii="Arial" w:hAnsi="Arial" w:cs="Arial"/>
          <w:color w:val="000000"/>
          <w:sz w:val="20"/>
          <w:szCs w:val="20"/>
        </w:rPr>
      </w:pPr>
      <w:r>
        <w:rPr>
          <w:rFonts w:ascii="Arial" w:hAnsi="Arial" w:cs="Arial"/>
          <w:b/>
          <w:color w:val="000000"/>
          <w:sz w:val="20"/>
          <w:szCs w:val="20"/>
        </w:rPr>
        <w:lastRenderedPageBreak/>
        <w:t>Campus Service</w:t>
      </w:r>
      <w:r w:rsidR="00F3433E">
        <w:rPr>
          <w:rFonts w:ascii="Arial" w:hAnsi="Arial" w:cs="Arial"/>
          <w:b/>
          <w:color w:val="000000"/>
          <w:sz w:val="20"/>
          <w:szCs w:val="20"/>
        </w:rPr>
        <w:t xml:space="preserve">s </w:t>
      </w:r>
      <w:r w:rsidR="00F7173A" w:rsidRPr="00D3141B">
        <w:rPr>
          <w:rFonts w:ascii="Arial" w:hAnsi="Arial" w:cs="Arial"/>
          <w:b/>
          <w:color w:val="000000"/>
          <w:sz w:val="20"/>
          <w:szCs w:val="20"/>
        </w:rPr>
        <w:t>Review of Inventory</w:t>
      </w:r>
      <w:r w:rsidR="00F7173A">
        <w:rPr>
          <w:rFonts w:ascii="Arial" w:hAnsi="Arial" w:cs="Arial"/>
          <w:color w:val="000000"/>
          <w:sz w:val="20"/>
          <w:szCs w:val="20"/>
        </w:rPr>
        <w:t xml:space="preserve"> </w:t>
      </w:r>
    </w:p>
    <w:p w14:paraId="50084018" w14:textId="15B3069D" w:rsidR="00E44B70" w:rsidRDefault="00F7173A" w:rsidP="00F85DAF">
      <w:pPr>
        <w:pStyle w:val="ListParagraph"/>
        <w:shd w:val="clear" w:color="auto" w:fill="FFFFFF"/>
        <w:spacing w:before="100" w:beforeAutospacing="1" w:after="0" w:line="240" w:lineRule="auto"/>
        <w:ind w:left="0"/>
        <w:rPr>
          <w:rFonts w:ascii="Arial" w:hAnsi="Arial" w:cs="Arial"/>
          <w:color w:val="000000"/>
          <w:sz w:val="20"/>
          <w:szCs w:val="20"/>
        </w:rPr>
      </w:pPr>
      <w:r>
        <w:rPr>
          <w:rFonts w:ascii="Arial" w:hAnsi="Arial" w:cs="Arial"/>
          <w:color w:val="000000"/>
          <w:sz w:val="20"/>
          <w:szCs w:val="20"/>
        </w:rPr>
        <w:t>Inventory Assets are audited each year. Prior to year</w:t>
      </w:r>
      <w:r w:rsidR="00F85DAF">
        <w:rPr>
          <w:rFonts w:ascii="Arial" w:hAnsi="Arial" w:cs="Arial"/>
          <w:color w:val="000000"/>
          <w:sz w:val="20"/>
          <w:szCs w:val="20"/>
        </w:rPr>
        <w:t>-</w:t>
      </w:r>
      <w:r>
        <w:rPr>
          <w:rFonts w:ascii="Arial" w:hAnsi="Arial" w:cs="Arial"/>
          <w:color w:val="000000"/>
          <w:sz w:val="20"/>
          <w:szCs w:val="20"/>
        </w:rPr>
        <w:t>end, Campus Services will conduct inventory count verifications to ensure items were counted correctly. Verification reviews will include spot checking counts, verifying item locations, assess</w:t>
      </w:r>
      <w:r w:rsidR="00F85DAF">
        <w:rPr>
          <w:rFonts w:ascii="Arial" w:hAnsi="Arial" w:cs="Arial"/>
          <w:color w:val="000000"/>
          <w:sz w:val="20"/>
          <w:szCs w:val="20"/>
        </w:rPr>
        <w:t>ing</w:t>
      </w:r>
      <w:r>
        <w:rPr>
          <w:rFonts w:ascii="Arial" w:hAnsi="Arial" w:cs="Arial"/>
          <w:color w:val="000000"/>
          <w:sz w:val="20"/>
          <w:szCs w:val="20"/>
        </w:rPr>
        <w:t xml:space="preserve"> the organization and cleanliness of the stock room</w:t>
      </w:r>
      <w:r w:rsidR="00F85DAF">
        <w:rPr>
          <w:rFonts w:ascii="Arial" w:hAnsi="Arial" w:cs="Arial"/>
          <w:color w:val="000000"/>
          <w:sz w:val="20"/>
          <w:szCs w:val="20"/>
        </w:rPr>
        <w:t>,</w:t>
      </w:r>
      <w:r>
        <w:rPr>
          <w:rFonts w:ascii="Arial" w:hAnsi="Arial" w:cs="Arial"/>
          <w:color w:val="000000"/>
          <w:sz w:val="20"/>
          <w:szCs w:val="20"/>
        </w:rPr>
        <w:t xml:space="preserve"> and check</w:t>
      </w:r>
      <w:r w:rsidR="00F85DAF">
        <w:rPr>
          <w:rFonts w:ascii="Arial" w:hAnsi="Arial" w:cs="Arial"/>
          <w:color w:val="000000"/>
          <w:sz w:val="20"/>
          <w:szCs w:val="20"/>
        </w:rPr>
        <w:t>ing</w:t>
      </w:r>
      <w:r>
        <w:rPr>
          <w:rFonts w:ascii="Arial" w:hAnsi="Arial" w:cs="Arial"/>
          <w:color w:val="000000"/>
          <w:sz w:val="20"/>
          <w:szCs w:val="20"/>
        </w:rPr>
        <w:t xml:space="preserve"> invoices for proper pricing.</w:t>
      </w:r>
    </w:p>
    <w:p w14:paraId="678FBA46" w14:textId="77777777" w:rsidR="00E44B70" w:rsidRDefault="00E44B70" w:rsidP="00F85DAF">
      <w:pPr>
        <w:pStyle w:val="ListParagraph"/>
        <w:shd w:val="clear" w:color="auto" w:fill="FFFFFF"/>
        <w:spacing w:before="100" w:beforeAutospacing="1" w:after="0" w:line="240" w:lineRule="auto"/>
        <w:ind w:left="0"/>
        <w:rPr>
          <w:rFonts w:ascii="Arial" w:hAnsi="Arial" w:cs="Arial"/>
          <w:color w:val="000000"/>
          <w:sz w:val="20"/>
          <w:szCs w:val="20"/>
        </w:rPr>
      </w:pPr>
    </w:p>
    <w:p w14:paraId="0FE9FC4E" w14:textId="77777777" w:rsidR="00E44B70" w:rsidRDefault="00E44B70" w:rsidP="00F85DAF">
      <w:pPr>
        <w:pStyle w:val="ListParagraph"/>
        <w:shd w:val="clear" w:color="auto" w:fill="FFFFFF"/>
        <w:spacing w:before="100" w:beforeAutospacing="1" w:after="0" w:line="240" w:lineRule="auto"/>
        <w:ind w:left="0"/>
        <w:rPr>
          <w:rFonts w:ascii="Arial" w:hAnsi="Arial" w:cs="Arial"/>
          <w:color w:val="000000"/>
          <w:sz w:val="20"/>
          <w:szCs w:val="20"/>
        </w:rPr>
      </w:pPr>
      <w:r>
        <w:rPr>
          <w:rFonts w:ascii="Arial" w:hAnsi="Arial" w:cs="Arial"/>
          <w:color w:val="000000"/>
          <w:sz w:val="20"/>
          <w:szCs w:val="20"/>
        </w:rPr>
        <w:t>Test counts should be made from both directions: Record to Stock and Stock to Record. The Record to Stock testing is completed by selecting items on the inventory sheet, locating the physical items and counting them. The Stock to Record testing is completed by selecting items in their physical locations, counting them, and then comparing that count to the inventory record. Conducting the count from both directions allows for the possibility to catch items that are physically in inventory but were never recorded in the inventory system, location discrepancies, items sent to surplus but not recorded in the system, and other potential discrepancies.</w:t>
      </w:r>
    </w:p>
    <w:p w14:paraId="1E80ECE4" w14:textId="77777777" w:rsidR="00F7173A" w:rsidRDefault="00F7173A" w:rsidP="006852E9">
      <w:pPr>
        <w:pStyle w:val="ListParagraph"/>
        <w:shd w:val="clear" w:color="auto" w:fill="FFFFFF"/>
        <w:spacing w:before="100" w:beforeAutospacing="1" w:after="0" w:line="240" w:lineRule="auto"/>
        <w:ind w:left="0"/>
        <w:rPr>
          <w:rFonts w:ascii="Arial" w:hAnsi="Arial" w:cs="Arial"/>
          <w:color w:val="000000"/>
          <w:sz w:val="20"/>
          <w:szCs w:val="20"/>
        </w:rPr>
      </w:pPr>
    </w:p>
    <w:p w14:paraId="530CB547" w14:textId="77777777" w:rsidR="002E1C53" w:rsidRPr="006852E9" w:rsidRDefault="008B1E71" w:rsidP="006F3ACC">
      <w:pPr>
        <w:pStyle w:val="ListParagraph"/>
        <w:numPr>
          <w:ilvl w:val="0"/>
          <w:numId w:val="12"/>
        </w:numPr>
        <w:shd w:val="clear" w:color="auto" w:fill="FFFFFF"/>
        <w:spacing w:after="120" w:line="240" w:lineRule="auto"/>
        <w:contextualSpacing w:val="0"/>
        <w:rPr>
          <w:rFonts w:ascii="Arial" w:hAnsi="Arial" w:cs="Arial"/>
          <w:bCs/>
          <w:color w:val="000000"/>
          <w:sz w:val="20"/>
          <w:szCs w:val="20"/>
        </w:rPr>
      </w:pPr>
      <w:bookmarkStart w:id="10" w:name="ufli"/>
      <w:r>
        <w:rPr>
          <w:rFonts w:ascii="Arial" w:hAnsi="Arial" w:cs="Arial"/>
          <w:b/>
          <w:bCs/>
          <w:color w:val="000000"/>
          <w:sz w:val="20"/>
          <w:szCs w:val="20"/>
        </w:rPr>
        <w:t>Errors in the Count Verification</w:t>
      </w:r>
      <w:r w:rsidR="000B0EB6">
        <w:rPr>
          <w:rFonts w:ascii="Arial" w:hAnsi="Arial" w:cs="Arial"/>
          <w:b/>
          <w:bCs/>
          <w:color w:val="000000"/>
          <w:sz w:val="20"/>
          <w:szCs w:val="20"/>
        </w:rPr>
        <w:t xml:space="preserve"> -</w:t>
      </w:r>
      <w:r w:rsidR="002E1C53">
        <w:rPr>
          <w:rFonts w:ascii="Arial" w:hAnsi="Arial" w:cs="Arial"/>
          <w:b/>
          <w:bCs/>
          <w:color w:val="000000"/>
          <w:sz w:val="20"/>
          <w:szCs w:val="20"/>
        </w:rPr>
        <w:t xml:space="preserve"> </w:t>
      </w:r>
      <w:r w:rsidRPr="006852E9">
        <w:rPr>
          <w:rFonts w:ascii="Arial" w:hAnsi="Arial" w:cs="Arial"/>
          <w:bCs/>
          <w:color w:val="000000"/>
          <w:sz w:val="20"/>
          <w:szCs w:val="20"/>
        </w:rPr>
        <w:t xml:space="preserve">If </w:t>
      </w:r>
      <w:r w:rsidR="00F7647B" w:rsidRPr="006852E9">
        <w:rPr>
          <w:rFonts w:ascii="Arial" w:hAnsi="Arial" w:cs="Arial"/>
          <w:bCs/>
          <w:color w:val="000000"/>
          <w:sz w:val="20"/>
          <w:szCs w:val="20"/>
        </w:rPr>
        <w:t xml:space="preserve">the total errors found by Campus Services are greater than 5% in the count verification </w:t>
      </w:r>
      <w:r w:rsidR="00F85DAF" w:rsidRPr="006852E9">
        <w:rPr>
          <w:rFonts w:ascii="Arial" w:hAnsi="Arial" w:cs="Arial"/>
          <w:bCs/>
          <w:color w:val="000000"/>
          <w:sz w:val="20"/>
          <w:szCs w:val="20"/>
        </w:rPr>
        <w:t xml:space="preserve">or the count valuation, the following must be done </w:t>
      </w:r>
      <w:r w:rsidR="00F7647B" w:rsidRPr="006852E9">
        <w:rPr>
          <w:rFonts w:ascii="Arial" w:hAnsi="Arial" w:cs="Arial"/>
          <w:bCs/>
          <w:color w:val="000000"/>
          <w:sz w:val="20"/>
          <w:szCs w:val="20"/>
        </w:rPr>
        <w:t>to correct the inventory</w:t>
      </w:r>
      <w:r w:rsidR="000B0EB6">
        <w:rPr>
          <w:rFonts w:ascii="Arial" w:hAnsi="Arial" w:cs="Arial"/>
          <w:bCs/>
          <w:color w:val="000000"/>
          <w:sz w:val="20"/>
          <w:szCs w:val="20"/>
        </w:rPr>
        <w:t>:</w:t>
      </w:r>
    </w:p>
    <w:p w14:paraId="29934574" w14:textId="77777777" w:rsidR="002E1C53" w:rsidRPr="006852E9" w:rsidRDefault="00B51FCB" w:rsidP="006F3ACC">
      <w:pPr>
        <w:pStyle w:val="ListParagraph"/>
        <w:numPr>
          <w:ilvl w:val="1"/>
          <w:numId w:val="12"/>
        </w:numPr>
        <w:shd w:val="clear" w:color="auto" w:fill="FFFFFF"/>
        <w:spacing w:after="120" w:line="240" w:lineRule="auto"/>
        <w:contextualSpacing w:val="0"/>
        <w:rPr>
          <w:rFonts w:ascii="Arial" w:hAnsi="Arial" w:cs="Arial"/>
          <w:bCs/>
          <w:color w:val="000000"/>
          <w:sz w:val="20"/>
          <w:szCs w:val="20"/>
        </w:rPr>
      </w:pPr>
      <w:r w:rsidRPr="006852E9">
        <w:rPr>
          <w:rFonts w:ascii="Arial" w:hAnsi="Arial" w:cs="Arial"/>
          <w:sz w:val="20"/>
          <w:szCs w:val="20"/>
        </w:rPr>
        <w:t>The</w:t>
      </w:r>
      <w:r w:rsidRPr="006852E9">
        <w:rPr>
          <w:rFonts w:ascii="Arial" w:hAnsi="Arial" w:cs="Arial"/>
          <w:bCs/>
          <w:color w:val="000000"/>
          <w:sz w:val="20"/>
          <w:szCs w:val="20"/>
        </w:rPr>
        <w:t xml:space="preserve"> cause of the errors must be cle</w:t>
      </w:r>
      <w:r w:rsidR="004F5368" w:rsidRPr="006852E9">
        <w:rPr>
          <w:rFonts w:ascii="Arial" w:hAnsi="Arial" w:cs="Arial"/>
          <w:bCs/>
          <w:color w:val="000000"/>
          <w:sz w:val="20"/>
          <w:szCs w:val="20"/>
        </w:rPr>
        <w:t>ared up within 6 months, and the</w:t>
      </w:r>
      <w:r w:rsidRPr="006852E9">
        <w:rPr>
          <w:rFonts w:ascii="Arial" w:hAnsi="Arial" w:cs="Arial"/>
          <w:bCs/>
          <w:color w:val="000000"/>
          <w:sz w:val="20"/>
          <w:szCs w:val="20"/>
        </w:rPr>
        <w:t xml:space="preserve"> inventory must be recounted no later than 6 months after the initial inventory count. </w:t>
      </w:r>
      <w:r w:rsidR="009A1541" w:rsidRPr="006852E9">
        <w:rPr>
          <w:rFonts w:ascii="Arial" w:hAnsi="Arial" w:cs="Arial"/>
          <w:bCs/>
          <w:color w:val="000000"/>
          <w:sz w:val="20"/>
          <w:szCs w:val="20"/>
        </w:rPr>
        <w:t xml:space="preserve">The next business day following the </w:t>
      </w:r>
      <w:r w:rsidR="004F5368" w:rsidRPr="006852E9">
        <w:rPr>
          <w:rFonts w:ascii="Arial" w:hAnsi="Arial" w:cs="Arial"/>
          <w:bCs/>
          <w:color w:val="000000"/>
          <w:sz w:val="20"/>
          <w:szCs w:val="20"/>
        </w:rPr>
        <w:t xml:space="preserve">department </w:t>
      </w:r>
      <w:r w:rsidR="009A1541" w:rsidRPr="006852E9">
        <w:rPr>
          <w:rFonts w:ascii="Arial" w:hAnsi="Arial" w:cs="Arial"/>
          <w:bCs/>
          <w:color w:val="000000"/>
          <w:sz w:val="20"/>
          <w:szCs w:val="20"/>
        </w:rPr>
        <w:t xml:space="preserve">inventory </w:t>
      </w:r>
      <w:r w:rsidR="00E91BD0" w:rsidRPr="006852E9">
        <w:rPr>
          <w:rFonts w:ascii="Arial" w:hAnsi="Arial" w:cs="Arial"/>
          <w:bCs/>
          <w:color w:val="000000"/>
          <w:sz w:val="20"/>
          <w:szCs w:val="20"/>
        </w:rPr>
        <w:t>re</w:t>
      </w:r>
      <w:r w:rsidR="009A1541" w:rsidRPr="006852E9">
        <w:rPr>
          <w:rFonts w:ascii="Arial" w:hAnsi="Arial" w:cs="Arial"/>
          <w:bCs/>
          <w:color w:val="000000"/>
          <w:sz w:val="20"/>
          <w:szCs w:val="20"/>
        </w:rPr>
        <w:t>count</w:t>
      </w:r>
      <w:r w:rsidR="00E91BD0" w:rsidRPr="006852E9">
        <w:rPr>
          <w:rFonts w:ascii="Arial" w:hAnsi="Arial" w:cs="Arial"/>
          <w:bCs/>
          <w:color w:val="000000"/>
          <w:sz w:val="20"/>
          <w:szCs w:val="20"/>
        </w:rPr>
        <w:t>,</w:t>
      </w:r>
      <w:r w:rsidR="009A1541" w:rsidRPr="006852E9">
        <w:rPr>
          <w:rFonts w:ascii="Arial" w:hAnsi="Arial" w:cs="Arial"/>
          <w:bCs/>
          <w:color w:val="000000"/>
          <w:sz w:val="20"/>
          <w:szCs w:val="20"/>
        </w:rPr>
        <w:t xml:space="preserve"> Campus Services will do a </w:t>
      </w:r>
      <w:r w:rsidR="004F5368" w:rsidRPr="006852E9">
        <w:rPr>
          <w:rFonts w:ascii="Arial" w:hAnsi="Arial" w:cs="Arial"/>
          <w:bCs/>
          <w:color w:val="000000"/>
          <w:sz w:val="20"/>
          <w:szCs w:val="20"/>
        </w:rPr>
        <w:t xml:space="preserve">second </w:t>
      </w:r>
      <w:r w:rsidR="009A1541" w:rsidRPr="006852E9">
        <w:rPr>
          <w:rFonts w:ascii="Arial" w:hAnsi="Arial" w:cs="Arial"/>
          <w:bCs/>
          <w:color w:val="000000"/>
          <w:sz w:val="20"/>
          <w:szCs w:val="20"/>
        </w:rPr>
        <w:t>count verification</w:t>
      </w:r>
      <w:r w:rsidR="004F5368" w:rsidRPr="006852E9">
        <w:rPr>
          <w:rFonts w:ascii="Arial" w:hAnsi="Arial" w:cs="Arial"/>
          <w:bCs/>
          <w:color w:val="000000"/>
          <w:sz w:val="20"/>
          <w:szCs w:val="20"/>
        </w:rPr>
        <w:t>.</w:t>
      </w:r>
    </w:p>
    <w:p w14:paraId="11DC32C2" w14:textId="77777777" w:rsidR="00B51FCB" w:rsidRDefault="00B51FCB" w:rsidP="002E1C53">
      <w:pPr>
        <w:pStyle w:val="ListParagraph"/>
        <w:numPr>
          <w:ilvl w:val="1"/>
          <w:numId w:val="12"/>
        </w:numPr>
        <w:shd w:val="clear" w:color="auto" w:fill="FFFFFF"/>
        <w:spacing w:after="0" w:line="240" w:lineRule="auto"/>
        <w:rPr>
          <w:rFonts w:ascii="Arial" w:hAnsi="Arial" w:cs="Arial"/>
          <w:sz w:val="20"/>
          <w:szCs w:val="20"/>
        </w:rPr>
      </w:pPr>
      <w:r w:rsidRPr="006852E9">
        <w:rPr>
          <w:rFonts w:ascii="Arial" w:hAnsi="Arial" w:cs="Arial"/>
          <w:sz w:val="20"/>
          <w:szCs w:val="20"/>
        </w:rPr>
        <w:t xml:space="preserve">If the error in the </w:t>
      </w:r>
      <w:r w:rsidR="00E91BD0" w:rsidRPr="006852E9">
        <w:rPr>
          <w:rFonts w:ascii="Arial" w:hAnsi="Arial" w:cs="Arial"/>
          <w:sz w:val="20"/>
          <w:szCs w:val="20"/>
        </w:rPr>
        <w:t>re</w:t>
      </w:r>
      <w:r w:rsidRPr="006852E9">
        <w:rPr>
          <w:rFonts w:ascii="Arial" w:hAnsi="Arial" w:cs="Arial"/>
          <w:sz w:val="20"/>
          <w:szCs w:val="20"/>
        </w:rPr>
        <w:t xml:space="preserve">count verification is still greater than 5% </w:t>
      </w:r>
      <w:r w:rsidR="00E177B9" w:rsidRPr="006852E9">
        <w:rPr>
          <w:rFonts w:ascii="Arial" w:hAnsi="Arial" w:cs="Arial"/>
          <w:sz w:val="20"/>
          <w:szCs w:val="20"/>
        </w:rPr>
        <w:t xml:space="preserve">a </w:t>
      </w:r>
      <w:r w:rsidR="009A1541" w:rsidRPr="006852E9">
        <w:rPr>
          <w:rFonts w:ascii="Arial" w:hAnsi="Arial" w:cs="Arial"/>
          <w:sz w:val="20"/>
          <w:szCs w:val="20"/>
        </w:rPr>
        <w:t xml:space="preserve">meeting will be set up with BFS, </w:t>
      </w:r>
      <w:r w:rsidR="00E177B9" w:rsidRPr="006852E9">
        <w:rPr>
          <w:rFonts w:ascii="Arial" w:hAnsi="Arial" w:cs="Arial"/>
          <w:sz w:val="20"/>
          <w:szCs w:val="20"/>
        </w:rPr>
        <w:t>the department head and business officer to come to a resolution on how to accurately track inventory.</w:t>
      </w:r>
    </w:p>
    <w:p w14:paraId="12A28738" w14:textId="77777777" w:rsidR="006852E9" w:rsidRPr="006852E9" w:rsidRDefault="006852E9" w:rsidP="006852E9">
      <w:pPr>
        <w:pStyle w:val="ListParagraph"/>
        <w:shd w:val="clear" w:color="auto" w:fill="FFFFFF"/>
        <w:spacing w:after="0" w:line="240" w:lineRule="auto"/>
        <w:ind w:left="1800"/>
        <w:rPr>
          <w:rFonts w:ascii="Arial" w:hAnsi="Arial" w:cs="Arial"/>
          <w:sz w:val="20"/>
          <w:szCs w:val="20"/>
        </w:rPr>
      </w:pPr>
    </w:p>
    <w:p w14:paraId="002A2D8A" w14:textId="77777777" w:rsidR="00016CB6" w:rsidRDefault="00016CB6" w:rsidP="006F3ACC">
      <w:pPr>
        <w:pStyle w:val="ListParagraph"/>
        <w:numPr>
          <w:ilvl w:val="0"/>
          <w:numId w:val="12"/>
        </w:numPr>
        <w:shd w:val="clear" w:color="auto" w:fill="FFFFFF"/>
        <w:spacing w:after="120" w:line="240" w:lineRule="auto"/>
        <w:contextualSpacing w:val="0"/>
        <w:rPr>
          <w:rFonts w:ascii="Arial" w:hAnsi="Arial" w:cs="Arial"/>
          <w:b/>
          <w:bCs/>
          <w:color w:val="000000"/>
          <w:sz w:val="20"/>
          <w:szCs w:val="20"/>
        </w:rPr>
      </w:pPr>
      <w:r>
        <w:rPr>
          <w:rFonts w:ascii="Arial" w:hAnsi="Arial" w:cs="Arial"/>
          <w:b/>
          <w:bCs/>
          <w:color w:val="000000"/>
          <w:sz w:val="20"/>
          <w:szCs w:val="20"/>
        </w:rPr>
        <w:t xml:space="preserve">Errors in the </w:t>
      </w:r>
      <w:r w:rsidR="002E1C53">
        <w:rPr>
          <w:rFonts w:ascii="Arial" w:hAnsi="Arial" w:cs="Arial"/>
          <w:b/>
          <w:bCs/>
          <w:color w:val="000000"/>
          <w:sz w:val="20"/>
          <w:szCs w:val="20"/>
        </w:rPr>
        <w:t xml:space="preserve">Invoice </w:t>
      </w:r>
      <w:r w:rsidR="00E91BD0">
        <w:rPr>
          <w:rFonts w:ascii="Arial" w:hAnsi="Arial" w:cs="Arial"/>
          <w:b/>
          <w:bCs/>
          <w:color w:val="000000"/>
          <w:sz w:val="20"/>
          <w:szCs w:val="20"/>
        </w:rPr>
        <w:t xml:space="preserve">Cost </w:t>
      </w:r>
      <w:r>
        <w:rPr>
          <w:rFonts w:ascii="Arial" w:hAnsi="Arial" w:cs="Arial"/>
          <w:b/>
          <w:bCs/>
          <w:color w:val="000000"/>
          <w:sz w:val="20"/>
          <w:szCs w:val="20"/>
        </w:rPr>
        <w:t>Verification</w:t>
      </w:r>
    </w:p>
    <w:p w14:paraId="6D21B177" w14:textId="77777777" w:rsidR="00016CB6" w:rsidRDefault="00016CB6" w:rsidP="006F3ACC">
      <w:pPr>
        <w:shd w:val="clear" w:color="auto" w:fill="FFFFFF"/>
        <w:spacing w:after="120" w:line="240" w:lineRule="auto"/>
        <w:ind w:left="1440" w:hanging="360"/>
        <w:rPr>
          <w:rFonts w:ascii="Arial" w:hAnsi="Arial" w:cs="Arial"/>
          <w:bCs/>
          <w:color w:val="000000"/>
          <w:sz w:val="20"/>
          <w:szCs w:val="20"/>
        </w:rPr>
      </w:pPr>
      <w:r w:rsidRPr="008B1E71">
        <w:rPr>
          <w:rFonts w:ascii="Arial" w:hAnsi="Arial" w:cs="Arial"/>
          <w:b/>
          <w:bCs/>
          <w:color w:val="000000"/>
          <w:sz w:val="20"/>
          <w:szCs w:val="20"/>
        </w:rPr>
        <w:t xml:space="preserve">a.   </w:t>
      </w:r>
      <w:r>
        <w:rPr>
          <w:rFonts w:ascii="Arial" w:hAnsi="Arial" w:cs="Arial"/>
          <w:bCs/>
          <w:color w:val="000000"/>
          <w:sz w:val="20"/>
          <w:szCs w:val="20"/>
        </w:rPr>
        <w:t xml:space="preserve">Campus Services will select 5 items to test for </w:t>
      </w:r>
      <w:r w:rsidR="00E91BD0">
        <w:rPr>
          <w:rFonts w:ascii="Arial" w:hAnsi="Arial" w:cs="Arial"/>
          <w:bCs/>
          <w:color w:val="000000"/>
          <w:sz w:val="20"/>
          <w:szCs w:val="20"/>
        </w:rPr>
        <w:t>cost verification</w:t>
      </w:r>
      <w:r>
        <w:rPr>
          <w:rFonts w:ascii="Arial" w:hAnsi="Arial" w:cs="Arial"/>
          <w:bCs/>
          <w:color w:val="000000"/>
          <w:sz w:val="20"/>
          <w:szCs w:val="20"/>
        </w:rPr>
        <w:t xml:space="preserve">. If the </w:t>
      </w:r>
      <w:r w:rsidR="00E91BD0">
        <w:rPr>
          <w:rFonts w:ascii="Arial" w:hAnsi="Arial" w:cs="Arial"/>
          <w:bCs/>
          <w:color w:val="000000"/>
          <w:sz w:val="20"/>
          <w:szCs w:val="20"/>
        </w:rPr>
        <w:t xml:space="preserve">cost </w:t>
      </w:r>
      <w:r>
        <w:rPr>
          <w:rFonts w:ascii="Arial" w:hAnsi="Arial" w:cs="Arial"/>
          <w:bCs/>
          <w:color w:val="000000"/>
          <w:sz w:val="20"/>
          <w:szCs w:val="20"/>
        </w:rPr>
        <w:t xml:space="preserve">variance is greater than 5%, then 5 more items will be selected for testing. If the </w:t>
      </w:r>
      <w:r w:rsidR="00E91BD0">
        <w:rPr>
          <w:rFonts w:ascii="Arial" w:hAnsi="Arial" w:cs="Arial"/>
          <w:bCs/>
          <w:color w:val="000000"/>
          <w:sz w:val="20"/>
          <w:szCs w:val="20"/>
        </w:rPr>
        <w:t xml:space="preserve">cost </w:t>
      </w:r>
      <w:r>
        <w:rPr>
          <w:rFonts w:ascii="Arial" w:hAnsi="Arial" w:cs="Arial"/>
          <w:bCs/>
          <w:color w:val="000000"/>
          <w:sz w:val="20"/>
          <w:szCs w:val="20"/>
        </w:rPr>
        <w:t>variance is still greater than 5% a meeting will be set u</w:t>
      </w:r>
      <w:r w:rsidR="004F5368">
        <w:rPr>
          <w:rFonts w:ascii="Arial" w:hAnsi="Arial" w:cs="Arial"/>
          <w:bCs/>
          <w:color w:val="000000"/>
          <w:sz w:val="20"/>
          <w:szCs w:val="20"/>
        </w:rPr>
        <w:t>p with BFS, the department head</w:t>
      </w:r>
      <w:r>
        <w:rPr>
          <w:rFonts w:ascii="Arial" w:hAnsi="Arial" w:cs="Arial"/>
          <w:bCs/>
          <w:color w:val="000000"/>
          <w:sz w:val="20"/>
          <w:szCs w:val="20"/>
        </w:rPr>
        <w:t xml:space="preserve"> and business officer to discuss the accounting methods used for </w:t>
      </w:r>
      <w:r w:rsidR="00F3433E">
        <w:rPr>
          <w:rFonts w:ascii="Arial" w:hAnsi="Arial" w:cs="Arial"/>
          <w:bCs/>
          <w:color w:val="000000"/>
          <w:sz w:val="20"/>
          <w:szCs w:val="20"/>
        </w:rPr>
        <w:t>costing</w:t>
      </w:r>
      <w:r w:rsidR="002E1C53">
        <w:rPr>
          <w:rFonts w:ascii="Arial" w:hAnsi="Arial" w:cs="Arial"/>
          <w:bCs/>
          <w:color w:val="000000"/>
          <w:sz w:val="20"/>
          <w:szCs w:val="20"/>
        </w:rPr>
        <w:t xml:space="preserve"> </w:t>
      </w:r>
      <w:r>
        <w:rPr>
          <w:rFonts w:ascii="Arial" w:hAnsi="Arial" w:cs="Arial"/>
          <w:bCs/>
          <w:color w:val="000000"/>
          <w:sz w:val="20"/>
          <w:szCs w:val="20"/>
        </w:rPr>
        <w:t xml:space="preserve">and to come up with a solution for the </w:t>
      </w:r>
      <w:r w:rsidR="00E91BD0">
        <w:rPr>
          <w:rFonts w:ascii="Arial" w:hAnsi="Arial" w:cs="Arial"/>
          <w:bCs/>
          <w:color w:val="000000"/>
          <w:sz w:val="20"/>
          <w:szCs w:val="20"/>
        </w:rPr>
        <w:t xml:space="preserve">costing </w:t>
      </w:r>
      <w:r>
        <w:rPr>
          <w:rFonts w:ascii="Arial" w:hAnsi="Arial" w:cs="Arial"/>
          <w:bCs/>
          <w:color w:val="000000"/>
          <w:sz w:val="20"/>
          <w:szCs w:val="20"/>
        </w:rPr>
        <w:t>differences.</w:t>
      </w:r>
    </w:p>
    <w:p w14:paraId="40A21420" w14:textId="0A1C03B8" w:rsidR="00F7173A" w:rsidRPr="008805AE" w:rsidRDefault="00F7173A" w:rsidP="006F3ACC">
      <w:pPr>
        <w:pStyle w:val="ListParagraph"/>
        <w:numPr>
          <w:ilvl w:val="0"/>
          <w:numId w:val="12"/>
        </w:numPr>
        <w:shd w:val="clear" w:color="auto" w:fill="FFFFFF"/>
        <w:spacing w:after="120" w:line="240" w:lineRule="auto"/>
        <w:contextualSpacing w:val="0"/>
        <w:rPr>
          <w:rFonts w:ascii="Arial" w:hAnsi="Arial" w:cs="Arial"/>
          <w:color w:val="000000"/>
          <w:sz w:val="20"/>
          <w:szCs w:val="20"/>
        </w:rPr>
      </w:pPr>
      <w:r w:rsidRPr="008805AE">
        <w:rPr>
          <w:rFonts w:ascii="Arial" w:hAnsi="Arial" w:cs="Arial"/>
          <w:b/>
          <w:bCs/>
          <w:color w:val="000000"/>
          <w:sz w:val="20"/>
          <w:szCs w:val="20"/>
        </w:rPr>
        <w:t>University farms and livestock inventory</w:t>
      </w:r>
      <w:bookmarkEnd w:id="10"/>
    </w:p>
    <w:p w14:paraId="24EAD516" w14:textId="693E7850" w:rsidR="00F7173A" w:rsidRPr="000D2929" w:rsidRDefault="00F7173A" w:rsidP="003712AF">
      <w:pPr>
        <w:pStyle w:val="ListParagraph"/>
        <w:numPr>
          <w:ilvl w:val="0"/>
          <w:numId w:val="7"/>
        </w:numPr>
        <w:shd w:val="clear" w:color="auto" w:fill="FFFFFF"/>
        <w:spacing w:after="120" w:line="240" w:lineRule="auto"/>
        <w:contextualSpacing w:val="0"/>
        <w:rPr>
          <w:rFonts w:ascii="Arial" w:hAnsi="Arial" w:cs="Arial"/>
          <w:color w:val="000000"/>
          <w:sz w:val="20"/>
          <w:szCs w:val="20"/>
        </w:rPr>
      </w:pPr>
      <w:bookmarkStart w:id="11" w:name="lvst"/>
      <w:r w:rsidRPr="000D2929">
        <w:rPr>
          <w:rFonts w:ascii="Arial" w:hAnsi="Arial" w:cs="Arial"/>
          <w:b/>
          <w:bCs/>
          <w:color w:val="000000"/>
          <w:sz w:val="20"/>
          <w:szCs w:val="20"/>
        </w:rPr>
        <w:t>Livestock</w:t>
      </w:r>
      <w:bookmarkEnd w:id="11"/>
      <w:r w:rsidR="006F3ACC">
        <w:rPr>
          <w:rFonts w:ascii="Arial" w:hAnsi="Arial" w:cs="Arial"/>
          <w:b/>
          <w:bCs/>
          <w:color w:val="000000"/>
          <w:sz w:val="20"/>
          <w:szCs w:val="20"/>
        </w:rPr>
        <w:t xml:space="preserve"> -</w:t>
      </w:r>
      <w:r w:rsidRPr="000D2929">
        <w:rPr>
          <w:rFonts w:ascii="Arial" w:hAnsi="Arial" w:cs="Arial"/>
          <w:color w:val="000000"/>
          <w:sz w:val="20"/>
          <w:szCs w:val="20"/>
        </w:rPr>
        <w:t xml:space="preserve"> A physical count of livestock must be made as of June 30</w:t>
      </w:r>
      <w:r w:rsidR="00B25371">
        <w:rPr>
          <w:rFonts w:ascii="Arial" w:hAnsi="Arial" w:cs="Arial"/>
          <w:color w:val="000000"/>
          <w:sz w:val="20"/>
          <w:szCs w:val="20"/>
        </w:rPr>
        <w:t xml:space="preserve"> or as noted above</w:t>
      </w:r>
      <w:r w:rsidRPr="000D2929">
        <w:rPr>
          <w:rFonts w:ascii="Arial" w:hAnsi="Arial" w:cs="Arial"/>
          <w:color w:val="000000"/>
          <w:sz w:val="20"/>
          <w:szCs w:val="20"/>
        </w:rPr>
        <w:t>. Departments may require monthly reports, however for University inventory purposes; the report is required only at the end of the fiscal year</w:t>
      </w:r>
      <w:r w:rsidR="00B25371">
        <w:rPr>
          <w:rFonts w:ascii="Arial" w:hAnsi="Arial" w:cs="Arial"/>
          <w:color w:val="000000"/>
          <w:sz w:val="20"/>
          <w:szCs w:val="20"/>
        </w:rPr>
        <w:t xml:space="preserve"> or designated count</w:t>
      </w:r>
      <w:r w:rsidRPr="000D2929">
        <w:rPr>
          <w:rFonts w:ascii="Arial" w:hAnsi="Arial" w:cs="Arial"/>
          <w:color w:val="000000"/>
          <w:sz w:val="20"/>
          <w:szCs w:val="20"/>
        </w:rPr>
        <w:t xml:space="preserve">. The ending inventory count and valuation is recorded on the Summary Animal Inventory Report or facsimile form. The births, deaths, sales, etc. represent the total year's activity. </w:t>
      </w:r>
    </w:p>
    <w:p w14:paraId="5FFD6F14" w14:textId="43ABCDEA" w:rsidR="00F7173A" w:rsidRPr="000D2929" w:rsidRDefault="00F7173A" w:rsidP="006F3ACC">
      <w:pPr>
        <w:pStyle w:val="ListParagraph"/>
        <w:numPr>
          <w:ilvl w:val="0"/>
          <w:numId w:val="7"/>
        </w:numPr>
        <w:shd w:val="clear" w:color="auto" w:fill="FFFFFF"/>
        <w:spacing w:before="100" w:beforeAutospacing="1" w:after="120" w:line="240" w:lineRule="auto"/>
        <w:contextualSpacing w:val="0"/>
        <w:rPr>
          <w:rFonts w:ascii="Arial" w:hAnsi="Arial" w:cs="Arial"/>
          <w:color w:val="000000"/>
          <w:sz w:val="20"/>
          <w:szCs w:val="20"/>
        </w:rPr>
      </w:pPr>
      <w:bookmarkStart w:id="12" w:name="feed"/>
      <w:r w:rsidRPr="000D2929">
        <w:rPr>
          <w:rStyle w:val="normbold1"/>
          <w:color w:val="000000"/>
        </w:rPr>
        <w:t>Feeds</w:t>
      </w:r>
      <w:r w:rsidR="006F3ACC">
        <w:rPr>
          <w:rStyle w:val="normbold1"/>
          <w:color w:val="000000"/>
        </w:rPr>
        <w:t xml:space="preserve"> -</w:t>
      </w:r>
      <w:bookmarkEnd w:id="12"/>
      <w:r w:rsidRPr="000D2929">
        <w:rPr>
          <w:rFonts w:ascii="Arial" w:hAnsi="Arial" w:cs="Arial"/>
          <w:color w:val="000000"/>
          <w:sz w:val="20"/>
          <w:szCs w:val="20"/>
        </w:rPr>
        <w:t xml:space="preserve"> Livestock feeds (including hay, straw, silage, grains, meal, salt, etc.) which are on hand June 30 </w:t>
      </w:r>
      <w:r w:rsidR="00B25371">
        <w:rPr>
          <w:rFonts w:ascii="Arial" w:hAnsi="Arial" w:cs="Arial"/>
          <w:color w:val="000000"/>
          <w:sz w:val="20"/>
          <w:szCs w:val="20"/>
        </w:rPr>
        <w:t xml:space="preserve">or as noted above, </w:t>
      </w:r>
      <w:r w:rsidRPr="000D2929">
        <w:rPr>
          <w:rFonts w:ascii="Arial" w:hAnsi="Arial" w:cs="Arial"/>
          <w:color w:val="000000"/>
          <w:sz w:val="20"/>
          <w:szCs w:val="20"/>
        </w:rPr>
        <w:t>must be inventoried and valued. A separate inventory of each physically separated lot of feed must be made giving the specific location (stack, bin, etc.)</w:t>
      </w:r>
      <w:r w:rsidR="006F3ACC">
        <w:rPr>
          <w:rFonts w:ascii="Arial" w:hAnsi="Arial" w:cs="Arial"/>
          <w:color w:val="000000"/>
          <w:sz w:val="20"/>
          <w:szCs w:val="20"/>
        </w:rPr>
        <w:t>.</w:t>
      </w:r>
      <w:r w:rsidRPr="000D2929">
        <w:rPr>
          <w:rFonts w:ascii="Arial" w:hAnsi="Arial" w:cs="Arial"/>
          <w:color w:val="000000"/>
          <w:sz w:val="20"/>
          <w:szCs w:val="20"/>
        </w:rPr>
        <w:t xml:space="preserve"> </w:t>
      </w:r>
    </w:p>
    <w:p w14:paraId="189B340D" w14:textId="5696C6B3" w:rsidR="00F7173A" w:rsidRPr="000D2929" w:rsidRDefault="00F7173A" w:rsidP="006F3ACC">
      <w:pPr>
        <w:pStyle w:val="ListParagraph"/>
        <w:numPr>
          <w:ilvl w:val="0"/>
          <w:numId w:val="7"/>
        </w:numPr>
        <w:shd w:val="clear" w:color="auto" w:fill="FFFFFF"/>
        <w:spacing w:before="100" w:beforeAutospacing="1" w:after="120" w:line="240" w:lineRule="auto"/>
        <w:contextualSpacing w:val="0"/>
        <w:rPr>
          <w:rFonts w:ascii="Arial" w:hAnsi="Arial" w:cs="Arial"/>
          <w:color w:val="000000"/>
          <w:sz w:val="20"/>
          <w:szCs w:val="20"/>
        </w:rPr>
      </w:pPr>
      <w:bookmarkStart w:id="13" w:name="bulk"/>
      <w:r w:rsidRPr="000D2929">
        <w:rPr>
          <w:rStyle w:val="normbold1"/>
          <w:color w:val="000000"/>
        </w:rPr>
        <w:t>Bulk gas and oil</w:t>
      </w:r>
      <w:r w:rsidRPr="000D2929">
        <w:rPr>
          <w:rFonts w:ascii="Arial" w:hAnsi="Arial" w:cs="Arial"/>
          <w:color w:val="000000"/>
          <w:sz w:val="20"/>
          <w:szCs w:val="20"/>
        </w:rPr>
        <w:t xml:space="preserve"> </w:t>
      </w:r>
      <w:r w:rsidR="006F3ACC">
        <w:rPr>
          <w:rFonts w:ascii="Arial" w:hAnsi="Arial" w:cs="Arial"/>
          <w:color w:val="000000"/>
          <w:sz w:val="20"/>
          <w:szCs w:val="20"/>
        </w:rPr>
        <w:t>- M</w:t>
      </w:r>
      <w:r w:rsidRPr="000D2929">
        <w:rPr>
          <w:rFonts w:ascii="Arial" w:hAnsi="Arial" w:cs="Arial"/>
          <w:color w:val="000000"/>
          <w:sz w:val="20"/>
          <w:szCs w:val="20"/>
        </w:rPr>
        <w:t>ust be measured and reported in gallons.</w:t>
      </w:r>
      <w:bookmarkEnd w:id="13"/>
      <w:r w:rsidRPr="000D2929">
        <w:rPr>
          <w:rFonts w:ascii="Arial" w:hAnsi="Arial" w:cs="Arial"/>
          <w:color w:val="000000"/>
          <w:sz w:val="20"/>
          <w:szCs w:val="20"/>
        </w:rPr>
        <w:t xml:space="preserve"> </w:t>
      </w:r>
    </w:p>
    <w:p w14:paraId="15288BC6" w14:textId="3F726BE5" w:rsidR="00F7173A" w:rsidRPr="000D2929" w:rsidRDefault="00F7173A" w:rsidP="003712AF">
      <w:pPr>
        <w:pStyle w:val="ListParagraph"/>
        <w:numPr>
          <w:ilvl w:val="0"/>
          <w:numId w:val="7"/>
        </w:numPr>
        <w:shd w:val="clear" w:color="auto" w:fill="FFFFFF"/>
        <w:spacing w:after="120" w:line="240" w:lineRule="auto"/>
        <w:rPr>
          <w:rFonts w:ascii="Arial" w:hAnsi="Arial" w:cs="Arial"/>
          <w:color w:val="000000"/>
          <w:sz w:val="20"/>
          <w:szCs w:val="20"/>
        </w:rPr>
      </w:pPr>
      <w:bookmarkStart w:id="14" w:name="crop"/>
      <w:r w:rsidRPr="000D2929">
        <w:rPr>
          <w:rStyle w:val="normbold1"/>
          <w:color w:val="000000"/>
        </w:rPr>
        <w:t>Crops which have been harvested</w:t>
      </w:r>
      <w:r w:rsidR="006F3ACC">
        <w:rPr>
          <w:rStyle w:val="normbold1"/>
          <w:color w:val="000000"/>
        </w:rPr>
        <w:t xml:space="preserve"> - </w:t>
      </w:r>
      <w:r w:rsidR="006F3ACC" w:rsidRPr="006F3ACC">
        <w:rPr>
          <w:rStyle w:val="normbold1"/>
          <w:b w:val="0"/>
          <w:bCs w:val="0"/>
          <w:color w:val="000000"/>
        </w:rPr>
        <w:t>T</w:t>
      </w:r>
      <w:bookmarkEnd w:id="14"/>
      <w:r w:rsidRPr="000D2929">
        <w:rPr>
          <w:rFonts w:ascii="Arial" w:hAnsi="Arial" w:cs="Arial"/>
          <w:color w:val="000000"/>
          <w:sz w:val="20"/>
          <w:szCs w:val="20"/>
        </w:rPr>
        <w:t xml:space="preserve">hat are on hand June 30th </w:t>
      </w:r>
      <w:r w:rsidR="00B25371">
        <w:rPr>
          <w:rFonts w:ascii="Arial" w:hAnsi="Arial" w:cs="Arial"/>
          <w:color w:val="000000"/>
          <w:sz w:val="20"/>
          <w:szCs w:val="20"/>
        </w:rPr>
        <w:t xml:space="preserve">or as noted </w:t>
      </w:r>
      <w:proofErr w:type="gramStart"/>
      <w:r w:rsidR="00B25371">
        <w:rPr>
          <w:rFonts w:ascii="Arial" w:hAnsi="Arial" w:cs="Arial"/>
          <w:color w:val="000000"/>
          <w:sz w:val="20"/>
          <w:szCs w:val="20"/>
        </w:rPr>
        <w:t xml:space="preserve">above, </w:t>
      </w:r>
      <w:r w:rsidRPr="000D2929">
        <w:rPr>
          <w:rFonts w:ascii="Arial" w:hAnsi="Arial" w:cs="Arial"/>
          <w:color w:val="000000"/>
          <w:sz w:val="20"/>
          <w:szCs w:val="20"/>
        </w:rPr>
        <w:t>but</w:t>
      </w:r>
      <w:proofErr w:type="gramEnd"/>
      <w:r w:rsidRPr="000D2929">
        <w:rPr>
          <w:rFonts w:ascii="Arial" w:hAnsi="Arial" w:cs="Arial"/>
          <w:color w:val="000000"/>
          <w:sz w:val="20"/>
          <w:szCs w:val="20"/>
        </w:rPr>
        <w:t xml:space="preserve"> have not been sold (and officially billed out)</w:t>
      </w:r>
      <w:r w:rsidR="006F3ACC">
        <w:rPr>
          <w:rFonts w:ascii="Arial" w:hAnsi="Arial" w:cs="Arial"/>
          <w:color w:val="000000"/>
          <w:sz w:val="20"/>
          <w:szCs w:val="20"/>
        </w:rPr>
        <w:t>,</w:t>
      </w:r>
      <w:r w:rsidRPr="000D2929">
        <w:rPr>
          <w:rFonts w:ascii="Arial" w:hAnsi="Arial" w:cs="Arial"/>
          <w:color w:val="000000"/>
          <w:sz w:val="20"/>
          <w:szCs w:val="20"/>
        </w:rPr>
        <w:t xml:space="preserve"> must be listed as inventory. Annual growing crops, not yet harvested, are excluded from inventory</w:t>
      </w:r>
      <w:r w:rsidR="006F3ACC">
        <w:rPr>
          <w:rFonts w:ascii="Arial" w:hAnsi="Arial" w:cs="Arial"/>
          <w:color w:val="000000"/>
          <w:sz w:val="20"/>
          <w:szCs w:val="20"/>
        </w:rPr>
        <w:t>.</w:t>
      </w:r>
      <w:r w:rsidRPr="000D2929">
        <w:rPr>
          <w:rFonts w:ascii="Arial" w:hAnsi="Arial" w:cs="Arial"/>
          <w:color w:val="000000"/>
          <w:sz w:val="20"/>
          <w:szCs w:val="20"/>
        </w:rPr>
        <w:t xml:space="preserve"> </w:t>
      </w:r>
    </w:p>
    <w:p w14:paraId="4F86F57C" w14:textId="77777777" w:rsidR="00F7173A" w:rsidRPr="006852E9" w:rsidRDefault="00F7173A" w:rsidP="003712AF">
      <w:pPr>
        <w:shd w:val="clear" w:color="auto" w:fill="FFFFFF"/>
        <w:spacing w:after="120" w:line="240" w:lineRule="auto"/>
        <w:rPr>
          <w:rFonts w:ascii="Arial" w:hAnsi="Arial" w:cs="Arial"/>
          <w:b/>
        </w:rPr>
      </w:pPr>
      <w:r w:rsidRPr="006852E9">
        <w:rPr>
          <w:rFonts w:ascii="Arial" w:hAnsi="Arial" w:cs="Arial"/>
          <w:b/>
        </w:rPr>
        <w:t>Cost Valuation Methods</w:t>
      </w:r>
      <w:r w:rsidR="006852E9">
        <w:rPr>
          <w:rFonts w:ascii="Arial" w:hAnsi="Arial" w:cs="Arial"/>
          <w:b/>
        </w:rPr>
        <w:t>:</w:t>
      </w:r>
    </w:p>
    <w:p w14:paraId="078465A0" w14:textId="77777777" w:rsidR="00F7173A" w:rsidRDefault="00F7173A" w:rsidP="003712AF">
      <w:pPr>
        <w:pStyle w:val="NormalWeb"/>
        <w:shd w:val="clear" w:color="auto" w:fill="FFFFFF"/>
        <w:spacing w:before="0" w:beforeAutospacing="0" w:after="120" w:afterAutospacing="0"/>
        <w:ind w:left="360"/>
        <w:rPr>
          <w:rFonts w:ascii="Arial" w:hAnsi="Arial" w:cs="Arial"/>
          <w:color w:val="000000"/>
          <w:sz w:val="20"/>
          <w:szCs w:val="20"/>
        </w:rPr>
      </w:pPr>
      <w:r>
        <w:rPr>
          <w:rFonts w:ascii="Arial" w:hAnsi="Arial" w:cs="Arial"/>
          <w:b/>
          <w:bCs/>
          <w:color w:val="000000"/>
          <w:sz w:val="20"/>
          <w:szCs w:val="20"/>
          <w:u w:val="single"/>
        </w:rPr>
        <w:t>First-In First-Out (FIFO) cost method:</w:t>
      </w:r>
      <w:r>
        <w:rPr>
          <w:rFonts w:ascii="Arial" w:hAnsi="Arial" w:cs="Arial"/>
          <w:color w:val="000000"/>
          <w:sz w:val="20"/>
          <w:szCs w:val="20"/>
        </w:rPr>
        <w:t xml:space="preserve"> A method of inventory valuation in which cost factors are assumed to flow in chronological order with the first item received being the first item issued. The costs remaining in inventory therefore bear close relationship to current replacement </w:t>
      </w:r>
      <w:r w:rsidR="00E91BD0">
        <w:rPr>
          <w:rFonts w:ascii="Arial" w:hAnsi="Arial" w:cs="Arial"/>
          <w:color w:val="000000"/>
          <w:sz w:val="20"/>
          <w:szCs w:val="20"/>
        </w:rPr>
        <w:t>costs</w:t>
      </w:r>
      <w:r>
        <w:rPr>
          <w:rFonts w:ascii="Arial" w:hAnsi="Arial" w:cs="Arial"/>
          <w:color w:val="000000"/>
          <w:sz w:val="20"/>
          <w:szCs w:val="20"/>
        </w:rPr>
        <w:t>.</w:t>
      </w:r>
    </w:p>
    <w:p w14:paraId="7D3B5ADA" w14:textId="77777777" w:rsidR="00F7173A" w:rsidRDefault="00F7173A" w:rsidP="003712AF">
      <w:pPr>
        <w:pStyle w:val="NormalWeb"/>
        <w:shd w:val="clear" w:color="auto" w:fill="FFFFFF"/>
        <w:spacing w:before="0" w:beforeAutospacing="0" w:after="120" w:afterAutospacing="0"/>
        <w:ind w:left="360"/>
        <w:rPr>
          <w:rFonts w:ascii="Arial" w:hAnsi="Arial" w:cs="Arial"/>
          <w:color w:val="000000"/>
          <w:sz w:val="20"/>
          <w:szCs w:val="20"/>
        </w:rPr>
      </w:pPr>
      <w:r>
        <w:rPr>
          <w:rFonts w:ascii="Arial" w:hAnsi="Arial" w:cs="Arial"/>
          <w:b/>
          <w:bCs/>
          <w:color w:val="000000"/>
          <w:sz w:val="20"/>
          <w:szCs w:val="20"/>
          <w:u w:val="single"/>
        </w:rPr>
        <w:lastRenderedPageBreak/>
        <w:t>Average Cost Method:</w:t>
      </w:r>
      <w:r>
        <w:rPr>
          <w:rFonts w:ascii="Arial" w:hAnsi="Arial" w:cs="Arial"/>
          <w:color w:val="000000"/>
          <w:sz w:val="20"/>
          <w:szCs w:val="20"/>
        </w:rPr>
        <w:t xml:space="preserve"> </w:t>
      </w:r>
      <w:r w:rsidR="00E91BD0">
        <w:rPr>
          <w:rFonts w:ascii="Arial" w:hAnsi="Arial" w:cs="Arial"/>
          <w:color w:val="000000"/>
          <w:sz w:val="20"/>
          <w:szCs w:val="20"/>
        </w:rPr>
        <w:t xml:space="preserve">Costs </w:t>
      </w:r>
      <w:r>
        <w:rPr>
          <w:rFonts w:ascii="Arial" w:hAnsi="Arial" w:cs="Arial"/>
          <w:color w:val="000000"/>
          <w:sz w:val="20"/>
          <w:szCs w:val="20"/>
        </w:rPr>
        <w:t>items on the basis of the average cost of all similar goods available during the period.</w:t>
      </w:r>
    </w:p>
    <w:p w14:paraId="69195215" w14:textId="77777777" w:rsidR="00F7173A" w:rsidRDefault="00F7173A" w:rsidP="003712AF">
      <w:pPr>
        <w:pStyle w:val="NormalWeb"/>
        <w:shd w:val="clear" w:color="auto" w:fill="FFFFFF"/>
        <w:spacing w:before="0" w:beforeAutospacing="0" w:after="120" w:afterAutospacing="0"/>
        <w:ind w:left="360"/>
        <w:rPr>
          <w:rFonts w:ascii="Arial" w:hAnsi="Arial" w:cs="Arial"/>
          <w:color w:val="000000"/>
          <w:sz w:val="20"/>
          <w:szCs w:val="20"/>
        </w:rPr>
      </w:pPr>
      <w:r>
        <w:rPr>
          <w:rFonts w:ascii="Arial" w:hAnsi="Arial" w:cs="Arial"/>
          <w:b/>
          <w:bCs/>
          <w:color w:val="000000"/>
          <w:sz w:val="20"/>
          <w:szCs w:val="20"/>
          <w:u w:val="single"/>
        </w:rPr>
        <w:t xml:space="preserve">Moving-average </w:t>
      </w:r>
      <w:r w:rsidR="00E91BD0">
        <w:rPr>
          <w:rFonts w:ascii="Arial" w:hAnsi="Arial" w:cs="Arial"/>
          <w:b/>
          <w:bCs/>
          <w:color w:val="000000"/>
          <w:sz w:val="20"/>
          <w:szCs w:val="20"/>
          <w:u w:val="single"/>
        </w:rPr>
        <w:t>Cost</w:t>
      </w:r>
      <w:r>
        <w:rPr>
          <w:rFonts w:ascii="Arial" w:hAnsi="Arial" w:cs="Arial"/>
          <w:b/>
          <w:bCs/>
          <w:color w:val="000000"/>
          <w:sz w:val="20"/>
          <w:szCs w:val="20"/>
          <w:u w:val="single"/>
        </w:rPr>
        <w:t>:</w:t>
      </w:r>
      <w:r>
        <w:rPr>
          <w:rFonts w:ascii="Arial" w:hAnsi="Arial" w:cs="Arial"/>
          <w:color w:val="000000"/>
          <w:sz w:val="20"/>
          <w:szCs w:val="20"/>
        </w:rPr>
        <w:t xml:space="preserve"> A new average </w:t>
      </w:r>
      <w:r w:rsidR="00E91BD0">
        <w:rPr>
          <w:rFonts w:ascii="Arial" w:hAnsi="Arial" w:cs="Arial"/>
          <w:color w:val="000000"/>
          <w:sz w:val="20"/>
          <w:szCs w:val="20"/>
        </w:rPr>
        <w:t xml:space="preserve">cost </w:t>
      </w:r>
      <w:r>
        <w:rPr>
          <w:rFonts w:ascii="Arial" w:hAnsi="Arial" w:cs="Arial"/>
          <w:color w:val="000000"/>
          <w:sz w:val="20"/>
          <w:szCs w:val="20"/>
        </w:rPr>
        <w:t>per unit of issue is calculated by adding the cost of purchased items just received to the cost of present inventory (quantity on hand multiplied by present average unit cost) and then dividing the total value by the total number of units now in inventory.</w:t>
      </w:r>
    </w:p>
    <w:p w14:paraId="0B6ED742" w14:textId="77777777" w:rsidR="00F7173A" w:rsidRDefault="00F7173A" w:rsidP="00AA47CD">
      <w:pPr>
        <w:pStyle w:val="NormalWeb"/>
        <w:shd w:val="clear" w:color="auto" w:fill="FFFFFF"/>
        <w:spacing w:before="120" w:beforeAutospacing="0" w:after="0" w:afterAutospacing="0"/>
        <w:ind w:left="720"/>
        <w:rPr>
          <w:rFonts w:ascii="Arial" w:hAnsi="Arial" w:cs="Arial"/>
          <w:color w:val="000000"/>
          <w:sz w:val="20"/>
          <w:szCs w:val="20"/>
        </w:rPr>
      </w:pPr>
      <w:r>
        <w:rPr>
          <w:rFonts w:ascii="Arial" w:hAnsi="Arial" w:cs="Arial"/>
          <w:color w:val="000000"/>
          <w:sz w:val="20"/>
          <w:szCs w:val="20"/>
        </w:rPr>
        <w:t>For example: Items in inventory 20 at $10.00 average cost = $ 200.00</w:t>
      </w:r>
    </w:p>
    <w:p w14:paraId="3644BA78" w14:textId="77777777" w:rsidR="00F7173A" w:rsidRDefault="00F7173A" w:rsidP="003712AF">
      <w:pPr>
        <w:pStyle w:val="NormalWeb"/>
        <w:shd w:val="clear" w:color="auto" w:fill="FFFFFF"/>
        <w:ind w:left="1440"/>
        <w:contextualSpacing/>
        <w:rPr>
          <w:rFonts w:ascii="Arial" w:hAnsi="Arial" w:cs="Arial"/>
          <w:color w:val="000000"/>
          <w:sz w:val="20"/>
          <w:szCs w:val="20"/>
        </w:rPr>
      </w:pPr>
      <w:r>
        <w:rPr>
          <w:rFonts w:ascii="Arial" w:hAnsi="Arial" w:cs="Arial"/>
          <w:color w:val="000000"/>
          <w:sz w:val="20"/>
          <w:szCs w:val="20"/>
        </w:rPr>
        <w:t xml:space="preserve">Items just purchased  </w:t>
      </w:r>
    </w:p>
    <w:p w14:paraId="05B26FFA" w14:textId="77777777" w:rsidR="00F7173A" w:rsidRDefault="00F7173A" w:rsidP="003712AF">
      <w:pPr>
        <w:pStyle w:val="NormalWeb"/>
        <w:shd w:val="clear" w:color="auto" w:fill="FFFFFF"/>
        <w:spacing w:before="0" w:beforeAutospacing="0" w:after="120" w:afterAutospacing="0"/>
        <w:ind w:left="1440"/>
        <w:contextualSpacing/>
        <w:rPr>
          <w:rFonts w:ascii="Arial" w:hAnsi="Arial" w:cs="Arial"/>
          <w:color w:val="000000"/>
          <w:sz w:val="20"/>
          <w:szCs w:val="20"/>
        </w:rPr>
      </w:pPr>
      <w:r>
        <w:rPr>
          <w:rFonts w:ascii="Arial" w:hAnsi="Arial" w:cs="Arial"/>
          <w:color w:val="000000"/>
          <w:sz w:val="20"/>
          <w:szCs w:val="20"/>
        </w:rPr>
        <w:t>100 at $12.00 = $1,200.00</w:t>
      </w:r>
      <w:r>
        <w:rPr>
          <w:rFonts w:ascii="Arial" w:hAnsi="Arial" w:cs="Arial"/>
          <w:color w:val="000000"/>
          <w:sz w:val="20"/>
          <w:szCs w:val="20"/>
        </w:rPr>
        <w:br/>
        <w:t>Total cost = $1,400.00</w:t>
      </w:r>
      <w:r>
        <w:rPr>
          <w:rFonts w:ascii="Arial" w:hAnsi="Arial" w:cs="Arial"/>
          <w:color w:val="000000"/>
          <w:sz w:val="20"/>
          <w:szCs w:val="20"/>
        </w:rPr>
        <w:br/>
        <w:t xml:space="preserve">1400 divided by 120 gives new average cost of $11.67 </w:t>
      </w:r>
    </w:p>
    <w:p w14:paraId="297E9041" w14:textId="77777777" w:rsidR="00AA47CD" w:rsidRDefault="00AA47CD" w:rsidP="00AA47CD">
      <w:pPr>
        <w:pStyle w:val="NormalWeb"/>
        <w:shd w:val="clear" w:color="auto" w:fill="FFFFFF"/>
        <w:spacing w:before="120" w:beforeAutospacing="0" w:after="0" w:afterAutospacing="0"/>
        <w:ind w:left="360"/>
        <w:rPr>
          <w:rFonts w:ascii="Arial" w:hAnsi="Arial" w:cs="Arial"/>
          <w:b/>
          <w:bCs/>
          <w:color w:val="000000"/>
          <w:sz w:val="20"/>
          <w:szCs w:val="20"/>
          <w:u w:val="single"/>
        </w:rPr>
      </w:pPr>
    </w:p>
    <w:p w14:paraId="7770DD8F" w14:textId="77777777" w:rsidR="00F7173A" w:rsidRDefault="00F7173A" w:rsidP="000A49A7">
      <w:pPr>
        <w:pStyle w:val="NormalWeb"/>
        <w:shd w:val="clear" w:color="auto" w:fill="FFFFFF"/>
        <w:spacing w:before="0" w:beforeAutospacing="0" w:after="120" w:afterAutospacing="0"/>
        <w:ind w:left="360"/>
        <w:rPr>
          <w:rFonts w:ascii="Arial" w:hAnsi="Arial" w:cs="Arial"/>
          <w:color w:val="000000"/>
          <w:sz w:val="20"/>
          <w:szCs w:val="20"/>
        </w:rPr>
      </w:pPr>
      <w:r>
        <w:rPr>
          <w:rFonts w:ascii="Arial" w:hAnsi="Arial" w:cs="Arial"/>
          <w:b/>
          <w:bCs/>
          <w:color w:val="000000"/>
          <w:sz w:val="20"/>
          <w:szCs w:val="20"/>
          <w:u w:val="single"/>
        </w:rPr>
        <w:t xml:space="preserve">Weighted-average </w:t>
      </w:r>
      <w:r w:rsidR="00E91BD0">
        <w:rPr>
          <w:rFonts w:ascii="Arial" w:hAnsi="Arial" w:cs="Arial"/>
          <w:b/>
          <w:bCs/>
          <w:color w:val="000000"/>
          <w:sz w:val="20"/>
          <w:szCs w:val="20"/>
          <w:u w:val="single"/>
        </w:rPr>
        <w:t>Cost</w:t>
      </w:r>
      <w:r>
        <w:rPr>
          <w:rFonts w:ascii="Arial" w:hAnsi="Arial" w:cs="Arial"/>
          <w:b/>
          <w:bCs/>
          <w:color w:val="000000"/>
          <w:sz w:val="20"/>
          <w:szCs w:val="20"/>
          <w:u w:val="single"/>
        </w:rPr>
        <w:t>:</w:t>
      </w:r>
      <w:r>
        <w:rPr>
          <w:rFonts w:ascii="Arial" w:hAnsi="Arial" w:cs="Arial"/>
          <w:color w:val="000000"/>
          <w:sz w:val="20"/>
          <w:szCs w:val="20"/>
        </w:rPr>
        <w:t xml:space="preserve"> Total cost of goods available for sale divided by the total number of units available (see example)</w:t>
      </w:r>
    </w:p>
    <w:tbl>
      <w:tblPr>
        <w:tblW w:w="0" w:type="auto"/>
        <w:tblCellSpacing w:w="15" w:type="dxa"/>
        <w:tblInd w:w="1695" w:type="dxa"/>
        <w:tblCellMar>
          <w:top w:w="15" w:type="dxa"/>
          <w:left w:w="15" w:type="dxa"/>
          <w:bottom w:w="15" w:type="dxa"/>
          <w:right w:w="15" w:type="dxa"/>
        </w:tblCellMar>
        <w:tblLook w:val="0000" w:firstRow="0" w:lastRow="0" w:firstColumn="0" w:lastColumn="0" w:noHBand="0" w:noVBand="0"/>
      </w:tblPr>
      <w:tblGrid>
        <w:gridCol w:w="2243"/>
        <w:gridCol w:w="883"/>
        <w:gridCol w:w="177"/>
        <w:gridCol w:w="883"/>
        <w:gridCol w:w="1229"/>
      </w:tblGrid>
      <w:tr w:rsidR="00F7173A" w14:paraId="57BA7CEC" w14:textId="77777777" w:rsidTr="000A49A7">
        <w:trPr>
          <w:tblCellSpacing w:w="15" w:type="dxa"/>
        </w:trPr>
        <w:tc>
          <w:tcPr>
            <w:tcW w:w="0" w:type="auto"/>
            <w:vAlign w:val="center"/>
          </w:tcPr>
          <w:p w14:paraId="3FF0AFE2" w14:textId="77777777" w:rsidR="00F7173A" w:rsidRDefault="00F7173A" w:rsidP="00C14582">
            <w:pPr>
              <w:rPr>
                <w:rFonts w:ascii="Arial" w:hAnsi="Arial" w:cs="Arial"/>
                <w:color w:val="000000"/>
                <w:sz w:val="20"/>
                <w:szCs w:val="20"/>
              </w:rPr>
            </w:pPr>
            <w:r>
              <w:rPr>
                <w:rFonts w:ascii="Arial" w:hAnsi="Arial" w:cs="Arial"/>
                <w:color w:val="000000"/>
                <w:sz w:val="20"/>
                <w:szCs w:val="20"/>
                <w:u w:val="single"/>
              </w:rPr>
              <w:t>Date of invoice</w:t>
            </w:r>
          </w:p>
        </w:tc>
        <w:tc>
          <w:tcPr>
            <w:tcW w:w="0" w:type="auto"/>
            <w:vAlign w:val="center"/>
          </w:tcPr>
          <w:p w14:paraId="0F98518A"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No. Units</w:t>
            </w:r>
          </w:p>
        </w:tc>
        <w:tc>
          <w:tcPr>
            <w:tcW w:w="0" w:type="auto"/>
            <w:vAlign w:val="center"/>
          </w:tcPr>
          <w:p w14:paraId="617CC5D7" w14:textId="77777777" w:rsidR="00F7173A" w:rsidRDefault="00F7173A" w:rsidP="00C14582">
            <w:pPr>
              <w:rPr>
                <w:rFonts w:ascii="Arial" w:hAnsi="Arial" w:cs="Arial"/>
                <w:color w:val="000000"/>
                <w:sz w:val="20"/>
                <w:szCs w:val="20"/>
              </w:rPr>
            </w:pPr>
          </w:p>
        </w:tc>
        <w:tc>
          <w:tcPr>
            <w:tcW w:w="0" w:type="auto"/>
            <w:vAlign w:val="center"/>
          </w:tcPr>
          <w:p w14:paraId="0ABEB77A"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Unit Cost</w:t>
            </w:r>
          </w:p>
        </w:tc>
        <w:tc>
          <w:tcPr>
            <w:tcW w:w="1184" w:type="dxa"/>
            <w:vAlign w:val="center"/>
          </w:tcPr>
          <w:p w14:paraId="51918C26"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Total Cost</w:t>
            </w:r>
          </w:p>
        </w:tc>
      </w:tr>
      <w:tr w:rsidR="00F7173A" w14:paraId="10FE4319" w14:textId="77777777" w:rsidTr="000A49A7">
        <w:trPr>
          <w:trHeight w:val="20"/>
          <w:tblCellSpacing w:w="15" w:type="dxa"/>
        </w:trPr>
        <w:tc>
          <w:tcPr>
            <w:tcW w:w="0" w:type="auto"/>
            <w:vAlign w:val="center"/>
          </w:tcPr>
          <w:p w14:paraId="285751E3" w14:textId="77777777" w:rsidR="00F7173A" w:rsidRDefault="00F7173A" w:rsidP="00C14582">
            <w:pPr>
              <w:rPr>
                <w:rFonts w:ascii="Arial" w:hAnsi="Arial" w:cs="Arial"/>
                <w:color w:val="000000"/>
                <w:sz w:val="20"/>
                <w:szCs w:val="20"/>
              </w:rPr>
            </w:pPr>
            <w:r>
              <w:rPr>
                <w:rFonts w:ascii="Arial" w:hAnsi="Arial" w:cs="Arial"/>
                <w:color w:val="000000"/>
                <w:sz w:val="20"/>
                <w:szCs w:val="20"/>
              </w:rPr>
              <w:t>March 2</w:t>
            </w:r>
          </w:p>
        </w:tc>
        <w:tc>
          <w:tcPr>
            <w:tcW w:w="0" w:type="auto"/>
            <w:vAlign w:val="center"/>
          </w:tcPr>
          <w:p w14:paraId="38ED3760"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2,000</w:t>
            </w:r>
          </w:p>
        </w:tc>
        <w:tc>
          <w:tcPr>
            <w:tcW w:w="0" w:type="auto"/>
            <w:vAlign w:val="center"/>
          </w:tcPr>
          <w:p w14:paraId="7F722368" w14:textId="77777777" w:rsidR="00F7173A" w:rsidRDefault="00F7173A" w:rsidP="00C14582">
            <w:pPr>
              <w:rPr>
                <w:rFonts w:ascii="Arial" w:hAnsi="Arial" w:cs="Arial"/>
                <w:color w:val="000000"/>
                <w:sz w:val="20"/>
                <w:szCs w:val="20"/>
              </w:rPr>
            </w:pPr>
          </w:p>
        </w:tc>
        <w:tc>
          <w:tcPr>
            <w:tcW w:w="0" w:type="auto"/>
            <w:vAlign w:val="center"/>
          </w:tcPr>
          <w:p w14:paraId="58C53C33"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$4.00</w:t>
            </w:r>
          </w:p>
        </w:tc>
        <w:tc>
          <w:tcPr>
            <w:tcW w:w="1184" w:type="dxa"/>
            <w:vAlign w:val="center"/>
          </w:tcPr>
          <w:p w14:paraId="21A34E44"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$8,000</w:t>
            </w:r>
          </w:p>
        </w:tc>
      </w:tr>
      <w:tr w:rsidR="00F7173A" w14:paraId="6AC0B2E1" w14:textId="77777777" w:rsidTr="000A49A7">
        <w:trPr>
          <w:trHeight w:val="20"/>
          <w:tblCellSpacing w:w="15" w:type="dxa"/>
        </w:trPr>
        <w:tc>
          <w:tcPr>
            <w:tcW w:w="0" w:type="auto"/>
            <w:vAlign w:val="center"/>
          </w:tcPr>
          <w:p w14:paraId="0560D8FF" w14:textId="77777777" w:rsidR="00F7173A" w:rsidRDefault="00F7173A" w:rsidP="00C14582">
            <w:pPr>
              <w:rPr>
                <w:rFonts w:ascii="Arial" w:hAnsi="Arial" w:cs="Arial"/>
                <w:color w:val="000000"/>
                <w:sz w:val="20"/>
                <w:szCs w:val="20"/>
              </w:rPr>
            </w:pPr>
            <w:r>
              <w:rPr>
                <w:rFonts w:ascii="Arial" w:hAnsi="Arial" w:cs="Arial"/>
                <w:color w:val="000000"/>
                <w:sz w:val="20"/>
                <w:szCs w:val="20"/>
              </w:rPr>
              <w:t>March 15</w:t>
            </w:r>
          </w:p>
        </w:tc>
        <w:tc>
          <w:tcPr>
            <w:tcW w:w="0" w:type="auto"/>
            <w:vAlign w:val="center"/>
          </w:tcPr>
          <w:p w14:paraId="6F7169FA"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6,000</w:t>
            </w:r>
          </w:p>
        </w:tc>
        <w:tc>
          <w:tcPr>
            <w:tcW w:w="0" w:type="auto"/>
            <w:vAlign w:val="center"/>
          </w:tcPr>
          <w:p w14:paraId="6CFB96A0" w14:textId="77777777" w:rsidR="00F7173A" w:rsidRDefault="00F7173A" w:rsidP="00C14582">
            <w:pPr>
              <w:rPr>
                <w:rFonts w:ascii="Arial" w:hAnsi="Arial" w:cs="Arial"/>
                <w:color w:val="000000"/>
                <w:sz w:val="20"/>
                <w:szCs w:val="20"/>
              </w:rPr>
            </w:pPr>
          </w:p>
        </w:tc>
        <w:tc>
          <w:tcPr>
            <w:tcW w:w="0" w:type="auto"/>
            <w:vAlign w:val="center"/>
          </w:tcPr>
          <w:p w14:paraId="0ACE6D3E"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4.40</w:t>
            </w:r>
          </w:p>
        </w:tc>
        <w:tc>
          <w:tcPr>
            <w:tcW w:w="1184" w:type="dxa"/>
            <w:vAlign w:val="center"/>
          </w:tcPr>
          <w:p w14:paraId="2C419367"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26,400</w:t>
            </w:r>
          </w:p>
        </w:tc>
      </w:tr>
      <w:tr w:rsidR="00F7173A" w14:paraId="25FA2419" w14:textId="77777777" w:rsidTr="000A49A7">
        <w:trPr>
          <w:trHeight w:val="20"/>
          <w:tblCellSpacing w:w="15" w:type="dxa"/>
        </w:trPr>
        <w:tc>
          <w:tcPr>
            <w:tcW w:w="0" w:type="auto"/>
            <w:vAlign w:val="center"/>
          </w:tcPr>
          <w:p w14:paraId="7D9B411E" w14:textId="77777777" w:rsidR="00F7173A" w:rsidRDefault="00F7173A" w:rsidP="00C14582">
            <w:pPr>
              <w:rPr>
                <w:rFonts w:ascii="Arial" w:hAnsi="Arial" w:cs="Arial"/>
                <w:color w:val="000000"/>
                <w:sz w:val="20"/>
                <w:szCs w:val="20"/>
              </w:rPr>
            </w:pPr>
            <w:r>
              <w:rPr>
                <w:rFonts w:ascii="Arial" w:hAnsi="Arial" w:cs="Arial"/>
                <w:color w:val="000000"/>
                <w:sz w:val="20"/>
                <w:szCs w:val="20"/>
              </w:rPr>
              <w:t>March 30</w:t>
            </w:r>
          </w:p>
        </w:tc>
        <w:tc>
          <w:tcPr>
            <w:tcW w:w="0" w:type="auto"/>
            <w:vAlign w:val="center"/>
          </w:tcPr>
          <w:p w14:paraId="481E24DE"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2,000</w:t>
            </w:r>
          </w:p>
        </w:tc>
        <w:tc>
          <w:tcPr>
            <w:tcW w:w="0" w:type="auto"/>
            <w:vAlign w:val="center"/>
          </w:tcPr>
          <w:p w14:paraId="477933FC" w14:textId="77777777" w:rsidR="00F7173A" w:rsidRDefault="00F7173A" w:rsidP="00C14582">
            <w:pPr>
              <w:rPr>
                <w:rFonts w:ascii="Arial" w:hAnsi="Arial" w:cs="Arial"/>
                <w:color w:val="000000"/>
                <w:sz w:val="20"/>
                <w:szCs w:val="20"/>
              </w:rPr>
            </w:pPr>
          </w:p>
        </w:tc>
        <w:tc>
          <w:tcPr>
            <w:tcW w:w="0" w:type="auto"/>
            <w:vAlign w:val="center"/>
          </w:tcPr>
          <w:p w14:paraId="0FCC3480"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4.75</w:t>
            </w:r>
          </w:p>
        </w:tc>
        <w:tc>
          <w:tcPr>
            <w:tcW w:w="1184" w:type="dxa"/>
            <w:vAlign w:val="center"/>
          </w:tcPr>
          <w:p w14:paraId="2806BFD5"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9,500</w:t>
            </w:r>
          </w:p>
        </w:tc>
      </w:tr>
      <w:tr w:rsidR="00F7173A" w14:paraId="35912D38" w14:textId="77777777" w:rsidTr="000A49A7">
        <w:trPr>
          <w:trHeight w:val="20"/>
          <w:tblCellSpacing w:w="15" w:type="dxa"/>
        </w:trPr>
        <w:tc>
          <w:tcPr>
            <w:tcW w:w="0" w:type="auto"/>
            <w:vAlign w:val="center"/>
          </w:tcPr>
          <w:p w14:paraId="0847A522" w14:textId="77777777" w:rsidR="00F7173A" w:rsidRDefault="00F7173A" w:rsidP="00C14582">
            <w:pPr>
              <w:rPr>
                <w:rFonts w:ascii="Arial" w:hAnsi="Arial" w:cs="Arial"/>
                <w:color w:val="000000"/>
                <w:sz w:val="20"/>
                <w:szCs w:val="20"/>
              </w:rPr>
            </w:pPr>
            <w:r>
              <w:rPr>
                <w:rFonts w:ascii="Arial" w:hAnsi="Arial" w:cs="Arial"/>
                <w:color w:val="000000"/>
                <w:sz w:val="20"/>
                <w:szCs w:val="20"/>
              </w:rPr>
              <w:t>Total goods available</w:t>
            </w:r>
          </w:p>
        </w:tc>
        <w:tc>
          <w:tcPr>
            <w:tcW w:w="0" w:type="auto"/>
            <w:vAlign w:val="center"/>
          </w:tcPr>
          <w:p w14:paraId="3F96B8DB"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10,000</w:t>
            </w:r>
          </w:p>
        </w:tc>
        <w:tc>
          <w:tcPr>
            <w:tcW w:w="0" w:type="auto"/>
            <w:vAlign w:val="center"/>
          </w:tcPr>
          <w:p w14:paraId="143E898B" w14:textId="77777777" w:rsidR="00F7173A" w:rsidRDefault="00F7173A" w:rsidP="00C14582">
            <w:pPr>
              <w:rPr>
                <w:rFonts w:ascii="Arial" w:hAnsi="Arial" w:cs="Arial"/>
                <w:color w:val="000000"/>
                <w:sz w:val="20"/>
                <w:szCs w:val="20"/>
              </w:rPr>
            </w:pPr>
          </w:p>
        </w:tc>
        <w:tc>
          <w:tcPr>
            <w:tcW w:w="0" w:type="auto"/>
            <w:vAlign w:val="center"/>
          </w:tcPr>
          <w:p w14:paraId="3E2F671F" w14:textId="77777777" w:rsidR="00F7173A" w:rsidRDefault="00F7173A" w:rsidP="00C14582">
            <w:pPr>
              <w:rPr>
                <w:rFonts w:ascii="Arial" w:hAnsi="Arial" w:cs="Arial"/>
                <w:color w:val="000000"/>
                <w:sz w:val="20"/>
                <w:szCs w:val="20"/>
              </w:rPr>
            </w:pPr>
          </w:p>
        </w:tc>
        <w:tc>
          <w:tcPr>
            <w:tcW w:w="1184" w:type="dxa"/>
            <w:vAlign w:val="center"/>
          </w:tcPr>
          <w:p w14:paraId="3B93F0FF"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rPr>
              <w:t>$43,900</w:t>
            </w:r>
          </w:p>
        </w:tc>
      </w:tr>
      <w:tr w:rsidR="00F7173A" w14:paraId="7E03842C" w14:textId="77777777" w:rsidTr="000A49A7">
        <w:trPr>
          <w:tblCellSpacing w:w="15" w:type="dxa"/>
        </w:trPr>
        <w:tc>
          <w:tcPr>
            <w:tcW w:w="0" w:type="auto"/>
            <w:vAlign w:val="center"/>
          </w:tcPr>
          <w:p w14:paraId="1D809B3B" w14:textId="77777777" w:rsidR="00F7173A" w:rsidRDefault="00F7173A" w:rsidP="00C14582">
            <w:pPr>
              <w:rPr>
                <w:rFonts w:ascii="Arial" w:hAnsi="Arial" w:cs="Arial"/>
                <w:color w:val="000000"/>
                <w:sz w:val="20"/>
                <w:szCs w:val="20"/>
              </w:rPr>
            </w:pPr>
            <w:r>
              <w:rPr>
                <w:rFonts w:ascii="Arial" w:hAnsi="Arial" w:cs="Arial"/>
                <w:color w:val="000000"/>
                <w:sz w:val="20"/>
                <w:szCs w:val="20"/>
              </w:rPr>
              <w:t>Weighted Average Cost:</w:t>
            </w:r>
          </w:p>
        </w:tc>
        <w:tc>
          <w:tcPr>
            <w:tcW w:w="0" w:type="auto"/>
            <w:vAlign w:val="center"/>
          </w:tcPr>
          <w:p w14:paraId="69CFF0C3" w14:textId="77777777" w:rsidR="00F7173A" w:rsidRDefault="00F7173A" w:rsidP="00C14582">
            <w:pPr>
              <w:jc w:val="right"/>
              <w:rPr>
                <w:rFonts w:ascii="Arial" w:hAnsi="Arial" w:cs="Arial"/>
                <w:color w:val="000000"/>
                <w:sz w:val="20"/>
                <w:szCs w:val="20"/>
              </w:rPr>
            </w:pPr>
            <w:r>
              <w:rPr>
                <w:rFonts w:ascii="Arial" w:hAnsi="Arial" w:cs="Arial"/>
                <w:color w:val="000000"/>
                <w:sz w:val="20"/>
                <w:szCs w:val="20"/>
                <w:u w:val="single"/>
              </w:rPr>
              <w:t>$43,900</w:t>
            </w:r>
            <w:r>
              <w:rPr>
                <w:rFonts w:ascii="Arial" w:hAnsi="Arial" w:cs="Arial"/>
                <w:color w:val="000000"/>
                <w:sz w:val="20"/>
                <w:szCs w:val="20"/>
              </w:rPr>
              <w:br/>
              <w:t>10,000</w:t>
            </w:r>
          </w:p>
        </w:tc>
        <w:tc>
          <w:tcPr>
            <w:tcW w:w="0" w:type="auto"/>
            <w:vAlign w:val="center"/>
          </w:tcPr>
          <w:p w14:paraId="695449DF" w14:textId="77777777" w:rsidR="00F7173A" w:rsidRDefault="00F7173A" w:rsidP="00C14582">
            <w:pPr>
              <w:rPr>
                <w:rFonts w:ascii="Arial" w:hAnsi="Arial" w:cs="Arial"/>
                <w:color w:val="000000"/>
                <w:sz w:val="20"/>
                <w:szCs w:val="20"/>
              </w:rPr>
            </w:pPr>
            <w:r>
              <w:rPr>
                <w:rFonts w:ascii="Arial" w:hAnsi="Arial" w:cs="Arial"/>
                <w:color w:val="000000"/>
                <w:sz w:val="20"/>
                <w:szCs w:val="20"/>
              </w:rPr>
              <w:t>=</w:t>
            </w:r>
          </w:p>
        </w:tc>
        <w:tc>
          <w:tcPr>
            <w:tcW w:w="0" w:type="auto"/>
            <w:vAlign w:val="center"/>
          </w:tcPr>
          <w:p w14:paraId="61A2D277" w14:textId="77777777" w:rsidR="00F7173A" w:rsidRDefault="00F7173A" w:rsidP="00C14582">
            <w:pPr>
              <w:rPr>
                <w:rFonts w:ascii="Arial" w:hAnsi="Arial" w:cs="Arial"/>
                <w:color w:val="000000"/>
                <w:sz w:val="20"/>
                <w:szCs w:val="20"/>
              </w:rPr>
            </w:pPr>
            <w:r>
              <w:rPr>
                <w:rFonts w:ascii="Arial" w:hAnsi="Arial" w:cs="Arial"/>
                <w:color w:val="000000"/>
                <w:sz w:val="20"/>
                <w:szCs w:val="20"/>
              </w:rPr>
              <w:t>$4.39</w:t>
            </w:r>
          </w:p>
        </w:tc>
        <w:tc>
          <w:tcPr>
            <w:tcW w:w="1184" w:type="dxa"/>
            <w:vAlign w:val="center"/>
          </w:tcPr>
          <w:p w14:paraId="3E7112FF" w14:textId="77777777" w:rsidR="00F7173A" w:rsidRDefault="00F7173A" w:rsidP="00C14582">
            <w:pPr>
              <w:rPr>
                <w:rFonts w:ascii="Arial" w:hAnsi="Arial" w:cs="Arial"/>
                <w:color w:val="000000"/>
                <w:sz w:val="20"/>
                <w:szCs w:val="20"/>
              </w:rPr>
            </w:pPr>
          </w:p>
          <w:p w14:paraId="12F28C78" w14:textId="77777777" w:rsidR="00F7173A" w:rsidRDefault="00F7173A" w:rsidP="00C14582">
            <w:pPr>
              <w:rPr>
                <w:rFonts w:ascii="Arial" w:hAnsi="Arial" w:cs="Arial"/>
                <w:color w:val="000000"/>
                <w:sz w:val="20"/>
                <w:szCs w:val="20"/>
              </w:rPr>
            </w:pPr>
          </w:p>
        </w:tc>
      </w:tr>
    </w:tbl>
    <w:p w14:paraId="25B0B07B" w14:textId="77777777" w:rsidR="00F7173A" w:rsidRDefault="00F7173A" w:rsidP="00AA47CD">
      <w:pPr>
        <w:pStyle w:val="boldblk"/>
        <w:shd w:val="clear" w:color="auto" w:fill="FFFFFF"/>
        <w:spacing w:before="120" w:beforeAutospacing="0" w:after="120" w:afterAutospacing="0"/>
        <w:rPr>
          <w:rFonts w:ascii="Arial" w:hAnsi="Arial" w:cs="Arial"/>
          <w:sz w:val="20"/>
          <w:szCs w:val="20"/>
        </w:rPr>
      </w:pPr>
      <w:r w:rsidRPr="009E6212">
        <w:rPr>
          <w:rFonts w:ascii="Arial" w:hAnsi="Arial" w:cs="Arial"/>
          <w:sz w:val="20"/>
          <w:szCs w:val="20"/>
          <w:u w:val="single"/>
        </w:rPr>
        <w:t>Equivalent Units Method</w:t>
      </w:r>
      <w:r>
        <w:rPr>
          <w:rFonts w:ascii="Arial" w:hAnsi="Arial" w:cs="Arial"/>
          <w:sz w:val="20"/>
          <w:szCs w:val="20"/>
          <w:u w:val="single"/>
        </w:rPr>
        <w:t xml:space="preserve">: </w:t>
      </w:r>
      <w:r w:rsidRPr="009E6212">
        <w:rPr>
          <w:rFonts w:ascii="Arial" w:hAnsi="Arial" w:cs="Arial"/>
          <w:b w:val="0"/>
          <w:sz w:val="20"/>
          <w:szCs w:val="20"/>
        </w:rPr>
        <w:t>Allocation of total herd costs to various weighted animal categories based on the ratio of the total herd equivalent units and the equivalent units for a category. Costs associated with mature females are reallocated to the suckling category.</w:t>
      </w:r>
    </w:p>
    <w:tbl>
      <w:tblPr>
        <w:tblpPr w:leftFromText="180" w:rightFromText="180" w:vertAnchor="text" w:tblpXSpec="center" w:tblpY="1"/>
        <w:tblOverlap w:val="never"/>
        <w:tblW w:w="7637" w:type="dxa"/>
        <w:tblCellSpacing w:w="15" w:type="dxa"/>
        <w:tblCellMar>
          <w:top w:w="15" w:type="dxa"/>
          <w:left w:w="15" w:type="dxa"/>
          <w:bottom w:w="15" w:type="dxa"/>
          <w:right w:w="15" w:type="dxa"/>
        </w:tblCellMar>
        <w:tblLook w:val="0000" w:firstRow="0" w:lastRow="0" w:firstColumn="0" w:lastColumn="0" w:noHBand="0" w:noVBand="0"/>
      </w:tblPr>
      <w:tblGrid>
        <w:gridCol w:w="159"/>
        <w:gridCol w:w="2571"/>
        <w:gridCol w:w="423"/>
        <w:gridCol w:w="793"/>
        <w:gridCol w:w="177"/>
        <w:gridCol w:w="515"/>
        <w:gridCol w:w="1028"/>
        <w:gridCol w:w="245"/>
        <w:gridCol w:w="595"/>
        <w:gridCol w:w="916"/>
        <w:gridCol w:w="215"/>
      </w:tblGrid>
      <w:tr w:rsidR="00F7173A" w:rsidRPr="00016CB6" w14:paraId="5CBC1C9A" w14:textId="77777777" w:rsidTr="00D032E4">
        <w:trPr>
          <w:trHeight w:val="164"/>
          <w:tblCellSpacing w:w="15" w:type="dxa"/>
        </w:trPr>
        <w:tc>
          <w:tcPr>
            <w:tcW w:w="0" w:type="auto"/>
            <w:gridSpan w:val="2"/>
          </w:tcPr>
          <w:p w14:paraId="066F20ED" w14:textId="77777777" w:rsidR="00F7173A" w:rsidRPr="00016CB6" w:rsidRDefault="00F7173A" w:rsidP="00B25371">
            <w:pPr>
              <w:jc w:val="center"/>
              <w:rPr>
                <w:rFonts w:ascii="Arial" w:hAnsi="Arial" w:cs="Arial"/>
                <w:color w:val="000000"/>
                <w:sz w:val="18"/>
                <w:szCs w:val="18"/>
              </w:rPr>
            </w:pPr>
          </w:p>
        </w:tc>
        <w:tc>
          <w:tcPr>
            <w:tcW w:w="0" w:type="auto"/>
            <w:gridSpan w:val="3"/>
          </w:tcPr>
          <w:p w14:paraId="704EC71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Suckling</w:t>
            </w:r>
          </w:p>
        </w:tc>
        <w:tc>
          <w:tcPr>
            <w:tcW w:w="1599" w:type="dxa"/>
            <w:gridSpan w:val="3"/>
          </w:tcPr>
          <w:p w14:paraId="19389087"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Weanling</w:t>
            </w:r>
          </w:p>
        </w:tc>
        <w:tc>
          <w:tcPr>
            <w:tcW w:w="1568" w:type="dxa"/>
            <w:gridSpan w:val="3"/>
          </w:tcPr>
          <w:p w14:paraId="2A0D567F"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Mature</w:t>
            </w:r>
          </w:p>
        </w:tc>
      </w:tr>
      <w:tr w:rsidR="00F7173A" w:rsidRPr="00016CB6" w14:paraId="16EB6BC0" w14:textId="77777777" w:rsidTr="00D032E4">
        <w:trPr>
          <w:trHeight w:val="285"/>
          <w:tblCellSpacing w:w="15" w:type="dxa"/>
        </w:trPr>
        <w:tc>
          <w:tcPr>
            <w:tcW w:w="0" w:type="auto"/>
            <w:gridSpan w:val="2"/>
          </w:tcPr>
          <w:p w14:paraId="37A2315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Month of May</w:t>
            </w:r>
          </w:p>
        </w:tc>
        <w:tc>
          <w:tcPr>
            <w:tcW w:w="0" w:type="auto"/>
          </w:tcPr>
          <w:p w14:paraId="644A9D15"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Qty</w:t>
            </w:r>
          </w:p>
        </w:tc>
        <w:tc>
          <w:tcPr>
            <w:tcW w:w="0" w:type="auto"/>
            <w:gridSpan w:val="2"/>
          </w:tcPr>
          <w:p w14:paraId="1D79125C"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Value</w:t>
            </w:r>
          </w:p>
        </w:tc>
        <w:tc>
          <w:tcPr>
            <w:tcW w:w="0" w:type="auto"/>
          </w:tcPr>
          <w:p w14:paraId="48C22432"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Qty</w:t>
            </w:r>
          </w:p>
        </w:tc>
        <w:tc>
          <w:tcPr>
            <w:tcW w:w="1121" w:type="dxa"/>
            <w:gridSpan w:val="2"/>
          </w:tcPr>
          <w:p w14:paraId="5AF364A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Value</w:t>
            </w:r>
          </w:p>
        </w:tc>
        <w:tc>
          <w:tcPr>
            <w:tcW w:w="487" w:type="dxa"/>
          </w:tcPr>
          <w:p w14:paraId="466980B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Qty</w:t>
            </w:r>
          </w:p>
        </w:tc>
        <w:tc>
          <w:tcPr>
            <w:tcW w:w="0" w:type="auto"/>
            <w:gridSpan w:val="2"/>
          </w:tcPr>
          <w:p w14:paraId="587B8D5F"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Value</w:t>
            </w:r>
          </w:p>
        </w:tc>
      </w:tr>
      <w:tr w:rsidR="00F7173A" w:rsidRPr="00016CB6" w14:paraId="16085C7A" w14:textId="77777777" w:rsidTr="00D032E4">
        <w:trPr>
          <w:trHeight w:val="285"/>
          <w:tblCellSpacing w:w="15" w:type="dxa"/>
        </w:trPr>
        <w:tc>
          <w:tcPr>
            <w:tcW w:w="0" w:type="auto"/>
            <w:gridSpan w:val="2"/>
          </w:tcPr>
          <w:p w14:paraId="6091705A"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Beginning Inventory</w:t>
            </w:r>
          </w:p>
        </w:tc>
        <w:tc>
          <w:tcPr>
            <w:tcW w:w="0" w:type="auto"/>
          </w:tcPr>
          <w:p w14:paraId="4690111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220</w:t>
            </w:r>
          </w:p>
        </w:tc>
        <w:tc>
          <w:tcPr>
            <w:tcW w:w="0" w:type="auto"/>
          </w:tcPr>
          <w:p w14:paraId="1FECD535"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$30,231</w:t>
            </w:r>
          </w:p>
        </w:tc>
        <w:tc>
          <w:tcPr>
            <w:tcW w:w="0" w:type="auto"/>
          </w:tcPr>
          <w:p w14:paraId="5BBC2606" w14:textId="77777777" w:rsidR="00F7173A" w:rsidRPr="00016CB6" w:rsidRDefault="00F7173A" w:rsidP="00B25371">
            <w:pPr>
              <w:jc w:val="center"/>
              <w:rPr>
                <w:rFonts w:ascii="Arial" w:hAnsi="Arial" w:cs="Arial"/>
                <w:color w:val="000000"/>
                <w:sz w:val="18"/>
                <w:szCs w:val="18"/>
              </w:rPr>
            </w:pPr>
          </w:p>
        </w:tc>
        <w:tc>
          <w:tcPr>
            <w:tcW w:w="0" w:type="auto"/>
          </w:tcPr>
          <w:p w14:paraId="5C0B90DD"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113</w:t>
            </w:r>
          </w:p>
        </w:tc>
        <w:tc>
          <w:tcPr>
            <w:tcW w:w="0" w:type="auto"/>
          </w:tcPr>
          <w:p w14:paraId="42C16293"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$29,297</w:t>
            </w:r>
          </w:p>
        </w:tc>
        <w:tc>
          <w:tcPr>
            <w:tcW w:w="164" w:type="dxa"/>
          </w:tcPr>
          <w:p w14:paraId="0FEF77A6" w14:textId="77777777" w:rsidR="00F7173A" w:rsidRPr="00016CB6" w:rsidRDefault="00F7173A" w:rsidP="00B25371">
            <w:pPr>
              <w:jc w:val="center"/>
              <w:rPr>
                <w:rFonts w:ascii="Arial" w:hAnsi="Arial" w:cs="Arial"/>
                <w:color w:val="000000"/>
                <w:sz w:val="18"/>
                <w:szCs w:val="18"/>
              </w:rPr>
            </w:pPr>
          </w:p>
        </w:tc>
        <w:tc>
          <w:tcPr>
            <w:tcW w:w="487" w:type="dxa"/>
          </w:tcPr>
          <w:p w14:paraId="70CDD16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247</w:t>
            </w:r>
          </w:p>
        </w:tc>
        <w:tc>
          <w:tcPr>
            <w:tcW w:w="0" w:type="auto"/>
          </w:tcPr>
          <w:p w14:paraId="22E73BCE"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$62,656</w:t>
            </w:r>
          </w:p>
        </w:tc>
        <w:tc>
          <w:tcPr>
            <w:tcW w:w="0" w:type="auto"/>
            <w:vAlign w:val="center"/>
          </w:tcPr>
          <w:p w14:paraId="1BEE0A28" w14:textId="77777777" w:rsidR="00F7173A" w:rsidRPr="00016CB6" w:rsidRDefault="00F7173A" w:rsidP="00B25371">
            <w:pPr>
              <w:rPr>
                <w:rFonts w:ascii="Arial" w:hAnsi="Arial" w:cs="Arial"/>
                <w:color w:val="000000"/>
                <w:sz w:val="18"/>
                <w:szCs w:val="18"/>
              </w:rPr>
            </w:pPr>
          </w:p>
        </w:tc>
      </w:tr>
      <w:tr w:rsidR="00F7173A" w:rsidRPr="00016CB6" w14:paraId="081DD13C" w14:textId="77777777" w:rsidTr="00D032E4">
        <w:trPr>
          <w:trHeight w:val="285"/>
          <w:tblCellSpacing w:w="15" w:type="dxa"/>
        </w:trPr>
        <w:tc>
          <w:tcPr>
            <w:tcW w:w="0" w:type="auto"/>
            <w:gridSpan w:val="2"/>
          </w:tcPr>
          <w:p w14:paraId="59D073C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Transfers between categories</w:t>
            </w:r>
          </w:p>
        </w:tc>
        <w:tc>
          <w:tcPr>
            <w:tcW w:w="0" w:type="auto"/>
          </w:tcPr>
          <w:p w14:paraId="2CF6BA17"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104DD68E"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152CC308" w14:textId="77777777" w:rsidR="00F7173A" w:rsidRPr="00016CB6" w:rsidRDefault="00F7173A" w:rsidP="00B25371">
            <w:pPr>
              <w:jc w:val="center"/>
              <w:rPr>
                <w:rFonts w:ascii="Arial" w:hAnsi="Arial" w:cs="Arial"/>
                <w:color w:val="000000"/>
                <w:sz w:val="18"/>
                <w:szCs w:val="18"/>
              </w:rPr>
            </w:pPr>
          </w:p>
        </w:tc>
        <w:tc>
          <w:tcPr>
            <w:tcW w:w="0" w:type="auto"/>
          </w:tcPr>
          <w:p w14:paraId="7142BB48"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2817ADE5"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164" w:type="dxa"/>
          </w:tcPr>
          <w:p w14:paraId="2F770408" w14:textId="77777777" w:rsidR="00F7173A" w:rsidRPr="00016CB6" w:rsidRDefault="00F7173A" w:rsidP="00B25371">
            <w:pPr>
              <w:jc w:val="center"/>
              <w:rPr>
                <w:rFonts w:ascii="Arial" w:hAnsi="Arial" w:cs="Arial"/>
                <w:color w:val="000000"/>
                <w:sz w:val="18"/>
                <w:szCs w:val="18"/>
              </w:rPr>
            </w:pPr>
          </w:p>
        </w:tc>
        <w:tc>
          <w:tcPr>
            <w:tcW w:w="487" w:type="dxa"/>
          </w:tcPr>
          <w:p w14:paraId="03E27895"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22389F28"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vAlign w:val="center"/>
          </w:tcPr>
          <w:p w14:paraId="713E8FC1" w14:textId="77777777" w:rsidR="00F7173A" w:rsidRPr="00016CB6" w:rsidRDefault="00F7173A" w:rsidP="00B25371">
            <w:pPr>
              <w:rPr>
                <w:rFonts w:ascii="Arial" w:hAnsi="Arial" w:cs="Arial"/>
                <w:color w:val="000000"/>
                <w:sz w:val="18"/>
                <w:szCs w:val="18"/>
              </w:rPr>
            </w:pPr>
          </w:p>
        </w:tc>
      </w:tr>
      <w:tr w:rsidR="00F7173A" w:rsidRPr="00016CB6" w14:paraId="020226F1" w14:textId="77777777" w:rsidTr="00D032E4">
        <w:trPr>
          <w:trHeight w:val="285"/>
          <w:tblCellSpacing w:w="15" w:type="dxa"/>
        </w:trPr>
        <w:tc>
          <w:tcPr>
            <w:tcW w:w="0" w:type="auto"/>
            <w:gridSpan w:val="2"/>
          </w:tcPr>
          <w:p w14:paraId="7AF0907C"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Sales</w:t>
            </w:r>
          </w:p>
        </w:tc>
        <w:tc>
          <w:tcPr>
            <w:tcW w:w="0" w:type="auto"/>
          </w:tcPr>
          <w:p w14:paraId="79E3CCE5"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3338641B"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15651D7A" w14:textId="77777777" w:rsidR="00F7173A" w:rsidRPr="00016CB6" w:rsidRDefault="00F7173A" w:rsidP="00B25371">
            <w:pPr>
              <w:jc w:val="center"/>
              <w:rPr>
                <w:rFonts w:ascii="Arial" w:hAnsi="Arial" w:cs="Arial"/>
                <w:color w:val="000000"/>
                <w:sz w:val="18"/>
                <w:szCs w:val="18"/>
              </w:rPr>
            </w:pPr>
          </w:p>
        </w:tc>
        <w:tc>
          <w:tcPr>
            <w:tcW w:w="0" w:type="auto"/>
          </w:tcPr>
          <w:p w14:paraId="6328979A"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274CD752"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164" w:type="dxa"/>
          </w:tcPr>
          <w:p w14:paraId="49ED3F9A" w14:textId="77777777" w:rsidR="00F7173A" w:rsidRPr="00016CB6" w:rsidRDefault="00F7173A" w:rsidP="00B25371">
            <w:pPr>
              <w:jc w:val="center"/>
              <w:rPr>
                <w:rFonts w:ascii="Arial" w:hAnsi="Arial" w:cs="Arial"/>
                <w:color w:val="000000"/>
                <w:sz w:val="18"/>
                <w:szCs w:val="18"/>
              </w:rPr>
            </w:pPr>
          </w:p>
        </w:tc>
        <w:tc>
          <w:tcPr>
            <w:tcW w:w="487" w:type="dxa"/>
          </w:tcPr>
          <w:p w14:paraId="2DADD67B"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tcPr>
          <w:p w14:paraId="0109F6DE"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0</w:t>
            </w:r>
          </w:p>
        </w:tc>
        <w:tc>
          <w:tcPr>
            <w:tcW w:w="0" w:type="auto"/>
            <w:vAlign w:val="center"/>
          </w:tcPr>
          <w:p w14:paraId="76504F61" w14:textId="77777777" w:rsidR="00F7173A" w:rsidRPr="00016CB6" w:rsidRDefault="00F7173A" w:rsidP="00B25371">
            <w:pPr>
              <w:rPr>
                <w:rFonts w:ascii="Arial" w:hAnsi="Arial" w:cs="Arial"/>
                <w:color w:val="000000"/>
                <w:sz w:val="18"/>
                <w:szCs w:val="18"/>
              </w:rPr>
            </w:pPr>
          </w:p>
        </w:tc>
      </w:tr>
      <w:tr w:rsidR="00F7173A" w:rsidRPr="00016CB6" w14:paraId="0CFA1782" w14:textId="77777777" w:rsidTr="00D032E4">
        <w:trPr>
          <w:trHeight w:val="285"/>
          <w:tblCellSpacing w:w="15" w:type="dxa"/>
        </w:trPr>
        <w:tc>
          <w:tcPr>
            <w:tcW w:w="0" w:type="auto"/>
            <w:gridSpan w:val="2"/>
          </w:tcPr>
          <w:p w14:paraId="279C9D61"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Deaths</w:t>
            </w:r>
          </w:p>
        </w:tc>
        <w:tc>
          <w:tcPr>
            <w:tcW w:w="0" w:type="auto"/>
          </w:tcPr>
          <w:p w14:paraId="3E4E641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(10)</w:t>
            </w:r>
          </w:p>
        </w:tc>
        <w:tc>
          <w:tcPr>
            <w:tcW w:w="0" w:type="auto"/>
          </w:tcPr>
          <w:p w14:paraId="606191C7"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(1,374)</w:t>
            </w:r>
          </w:p>
        </w:tc>
        <w:tc>
          <w:tcPr>
            <w:tcW w:w="0" w:type="auto"/>
          </w:tcPr>
          <w:p w14:paraId="1A226293"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3</w:t>
            </w:r>
          </w:p>
        </w:tc>
        <w:tc>
          <w:tcPr>
            <w:tcW w:w="0" w:type="auto"/>
          </w:tcPr>
          <w:p w14:paraId="342C6EBB"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(1)</w:t>
            </w:r>
          </w:p>
        </w:tc>
        <w:tc>
          <w:tcPr>
            <w:tcW w:w="0" w:type="auto"/>
          </w:tcPr>
          <w:p w14:paraId="27A0C0CB"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(259)</w:t>
            </w:r>
          </w:p>
        </w:tc>
        <w:tc>
          <w:tcPr>
            <w:tcW w:w="164" w:type="dxa"/>
          </w:tcPr>
          <w:p w14:paraId="5D1102D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4</w:t>
            </w:r>
          </w:p>
        </w:tc>
        <w:tc>
          <w:tcPr>
            <w:tcW w:w="487" w:type="dxa"/>
          </w:tcPr>
          <w:p w14:paraId="70A5C1F2"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(5)</w:t>
            </w:r>
          </w:p>
        </w:tc>
        <w:tc>
          <w:tcPr>
            <w:tcW w:w="0" w:type="auto"/>
          </w:tcPr>
          <w:p w14:paraId="220E5FB2"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(1,268)</w:t>
            </w:r>
          </w:p>
        </w:tc>
        <w:tc>
          <w:tcPr>
            <w:tcW w:w="0" w:type="auto"/>
          </w:tcPr>
          <w:p w14:paraId="1C79F008" w14:textId="77777777" w:rsidR="00F7173A" w:rsidRPr="00016CB6" w:rsidRDefault="00F7173A" w:rsidP="00B25371">
            <w:pPr>
              <w:rPr>
                <w:rFonts w:ascii="Arial" w:hAnsi="Arial" w:cs="Arial"/>
                <w:color w:val="000000"/>
                <w:sz w:val="18"/>
                <w:szCs w:val="18"/>
              </w:rPr>
            </w:pPr>
            <w:r w:rsidRPr="00016CB6">
              <w:rPr>
                <w:rFonts w:ascii="Arial" w:hAnsi="Arial" w:cs="Arial"/>
                <w:color w:val="000000"/>
                <w:sz w:val="18"/>
                <w:szCs w:val="18"/>
              </w:rPr>
              <w:t>5</w:t>
            </w:r>
          </w:p>
        </w:tc>
      </w:tr>
      <w:tr w:rsidR="00F7173A" w:rsidRPr="00016CB6" w14:paraId="128A8F7E" w14:textId="77777777" w:rsidTr="00D032E4">
        <w:trPr>
          <w:trHeight w:val="285"/>
          <w:tblCellSpacing w:w="15" w:type="dxa"/>
        </w:trPr>
        <w:tc>
          <w:tcPr>
            <w:tcW w:w="0" w:type="auto"/>
          </w:tcPr>
          <w:p w14:paraId="71649D55" w14:textId="77777777" w:rsidR="00F7173A" w:rsidRPr="00016CB6" w:rsidRDefault="00F7173A" w:rsidP="00B25371">
            <w:pPr>
              <w:jc w:val="center"/>
              <w:rPr>
                <w:rFonts w:ascii="Arial" w:hAnsi="Arial" w:cs="Arial"/>
                <w:color w:val="000000"/>
                <w:sz w:val="18"/>
                <w:szCs w:val="18"/>
              </w:rPr>
            </w:pPr>
          </w:p>
        </w:tc>
        <w:tc>
          <w:tcPr>
            <w:tcW w:w="0" w:type="auto"/>
          </w:tcPr>
          <w:p w14:paraId="3BF4AE2E"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Sub-total</w:t>
            </w:r>
          </w:p>
        </w:tc>
        <w:tc>
          <w:tcPr>
            <w:tcW w:w="0" w:type="auto"/>
          </w:tcPr>
          <w:p w14:paraId="34CAEE8F"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210</w:t>
            </w:r>
          </w:p>
        </w:tc>
        <w:tc>
          <w:tcPr>
            <w:tcW w:w="0" w:type="auto"/>
          </w:tcPr>
          <w:p w14:paraId="682EA13D"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28,857</w:t>
            </w:r>
          </w:p>
        </w:tc>
        <w:tc>
          <w:tcPr>
            <w:tcW w:w="0" w:type="auto"/>
          </w:tcPr>
          <w:p w14:paraId="5FEC9154" w14:textId="77777777" w:rsidR="00F7173A" w:rsidRPr="00016CB6" w:rsidRDefault="00F7173A" w:rsidP="00B25371">
            <w:pPr>
              <w:jc w:val="center"/>
              <w:rPr>
                <w:rFonts w:ascii="Arial" w:hAnsi="Arial" w:cs="Arial"/>
                <w:color w:val="000000"/>
                <w:sz w:val="18"/>
                <w:szCs w:val="18"/>
              </w:rPr>
            </w:pPr>
          </w:p>
        </w:tc>
        <w:tc>
          <w:tcPr>
            <w:tcW w:w="0" w:type="auto"/>
          </w:tcPr>
          <w:p w14:paraId="11901A23"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112</w:t>
            </w:r>
          </w:p>
        </w:tc>
        <w:tc>
          <w:tcPr>
            <w:tcW w:w="0" w:type="auto"/>
          </w:tcPr>
          <w:p w14:paraId="6047634A"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29,038</w:t>
            </w:r>
          </w:p>
        </w:tc>
        <w:tc>
          <w:tcPr>
            <w:tcW w:w="164" w:type="dxa"/>
          </w:tcPr>
          <w:p w14:paraId="2DB8FF07" w14:textId="77777777" w:rsidR="00F7173A" w:rsidRPr="00016CB6" w:rsidRDefault="00F7173A" w:rsidP="00B25371">
            <w:pPr>
              <w:jc w:val="center"/>
              <w:rPr>
                <w:rFonts w:ascii="Arial" w:hAnsi="Arial" w:cs="Arial"/>
                <w:color w:val="000000"/>
                <w:sz w:val="18"/>
                <w:szCs w:val="18"/>
              </w:rPr>
            </w:pPr>
          </w:p>
        </w:tc>
        <w:tc>
          <w:tcPr>
            <w:tcW w:w="487" w:type="dxa"/>
          </w:tcPr>
          <w:p w14:paraId="2D1C6DA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242</w:t>
            </w:r>
          </w:p>
        </w:tc>
        <w:tc>
          <w:tcPr>
            <w:tcW w:w="0" w:type="auto"/>
          </w:tcPr>
          <w:p w14:paraId="36A7B62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61,388</w:t>
            </w:r>
          </w:p>
        </w:tc>
        <w:tc>
          <w:tcPr>
            <w:tcW w:w="0" w:type="auto"/>
            <w:vAlign w:val="center"/>
          </w:tcPr>
          <w:p w14:paraId="5B02B946" w14:textId="77777777" w:rsidR="00F7173A" w:rsidRPr="00016CB6" w:rsidRDefault="00F7173A" w:rsidP="00B25371">
            <w:pPr>
              <w:rPr>
                <w:rFonts w:ascii="Arial" w:hAnsi="Arial" w:cs="Arial"/>
                <w:color w:val="000000"/>
                <w:sz w:val="18"/>
                <w:szCs w:val="18"/>
              </w:rPr>
            </w:pPr>
          </w:p>
        </w:tc>
      </w:tr>
      <w:tr w:rsidR="00F7173A" w:rsidRPr="00016CB6" w14:paraId="48E424BF" w14:textId="77777777" w:rsidTr="00D032E4">
        <w:trPr>
          <w:trHeight w:val="285"/>
          <w:tblCellSpacing w:w="15" w:type="dxa"/>
        </w:trPr>
        <w:tc>
          <w:tcPr>
            <w:tcW w:w="0" w:type="auto"/>
            <w:gridSpan w:val="2"/>
          </w:tcPr>
          <w:p w14:paraId="68AF9F2D"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Additional cost</w:t>
            </w:r>
          </w:p>
        </w:tc>
        <w:tc>
          <w:tcPr>
            <w:tcW w:w="0" w:type="auto"/>
          </w:tcPr>
          <w:p w14:paraId="347A695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0</w:t>
            </w:r>
          </w:p>
        </w:tc>
        <w:tc>
          <w:tcPr>
            <w:tcW w:w="0" w:type="auto"/>
          </w:tcPr>
          <w:p w14:paraId="572859AA"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3,752</w:t>
            </w:r>
          </w:p>
        </w:tc>
        <w:tc>
          <w:tcPr>
            <w:tcW w:w="0" w:type="auto"/>
          </w:tcPr>
          <w:p w14:paraId="4204C2E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w:t>
            </w:r>
          </w:p>
        </w:tc>
        <w:tc>
          <w:tcPr>
            <w:tcW w:w="0" w:type="auto"/>
          </w:tcPr>
          <w:p w14:paraId="4BB5B9DC"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0</w:t>
            </w:r>
          </w:p>
        </w:tc>
        <w:tc>
          <w:tcPr>
            <w:tcW w:w="0" w:type="auto"/>
          </w:tcPr>
          <w:p w14:paraId="15A811A1"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1,042</w:t>
            </w:r>
          </w:p>
        </w:tc>
        <w:tc>
          <w:tcPr>
            <w:tcW w:w="164" w:type="dxa"/>
          </w:tcPr>
          <w:p w14:paraId="6BB905C2"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1</w:t>
            </w:r>
          </w:p>
        </w:tc>
        <w:tc>
          <w:tcPr>
            <w:tcW w:w="487" w:type="dxa"/>
          </w:tcPr>
          <w:p w14:paraId="341ECD2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0</w:t>
            </w:r>
          </w:p>
        </w:tc>
        <w:tc>
          <w:tcPr>
            <w:tcW w:w="0" w:type="auto"/>
          </w:tcPr>
          <w:p w14:paraId="1CB022F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u w:val="single"/>
              </w:rPr>
              <w:t>0</w:t>
            </w:r>
          </w:p>
        </w:tc>
        <w:tc>
          <w:tcPr>
            <w:tcW w:w="0" w:type="auto"/>
            <w:vAlign w:val="center"/>
          </w:tcPr>
          <w:p w14:paraId="2C3A0525" w14:textId="77777777" w:rsidR="00F7173A" w:rsidRPr="00016CB6" w:rsidRDefault="00F7173A" w:rsidP="00B25371">
            <w:pPr>
              <w:rPr>
                <w:rFonts w:ascii="Arial" w:hAnsi="Arial" w:cs="Arial"/>
                <w:color w:val="000000"/>
                <w:sz w:val="18"/>
                <w:szCs w:val="18"/>
              </w:rPr>
            </w:pPr>
          </w:p>
        </w:tc>
      </w:tr>
      <w:tr w:rsidR="00F7173A" w:rsidRPr="00016CB6" w14:paraId="5902752F" w14:textId="77777777" w:rsidTr="00D032E4">
        <w:trPr>
          <w:trHeight w:val="285"/>
          <w:tblCellSpacing w:w="15" w:type="dxa"/>
        </w:trPr>
        <w:tc>
          <w:tcPr>
            <w:tcW w:w="0" w:type="auto"/>
            <w:gridSpan w:val="2"/>
          </w:tcPr>
          <w:p w14:paraId="7362981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Ending inventory</w:t>
            </w:r>
          </w:p>
        </w:tc>
        <w:tc>
          <w:tcPr>
            <w:tcW w:w="0" w:type="auto"/>
          </w:tcPr>
          <w:p w14:paraId="287188FE"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210</w:t>
            </w:r>
          </w:p>
        </w:tc>
        <w:tc>
          <w:tcPr>
            <w:tcW w:w="0" w:type="auto"/>
          </w:tcPr>
          <w:p w14:paraId="26A13BA3"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32,609</w:t>
            </w:r>
          </w:p>
        </w:tc>
        <w:tc>
          <w:tcPr>
            <w:tcW w:w="0" w:type="auto"/>
          </w:tcPr>
          <w:p w14:paraId="12799B02" w14:textId="77777777" w:rsidR="00F7173A" w:rsidRPr="00016CB6" w:rsidRDefault="00F7173A" w:rsidP="00B25371">
            <w:pPr>
              <w:jc w:val="center"/>
              <w:rPr>
                <w:rFonts w:ascii="Arial" w:hAnsi="Arial" w:cs="Arial"/>
                <w:color w:val="000000"/>
                <w:sz w:val="18"/>
                <w:szCs w:val="18"/>
              </w:rPr>
            </w:pPr>
          </w:p>
        </w:tc>
        <w:tc>
          <w:tcPr>
            <w:tcW w:w="0" w:type="auto"/>
          </w:tcPr>
          <w:p w14:paraId="5E3C5771"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112</w:t>
            </w:r>
          </w:p>
        </w:tc>
        <w:tc>
          <w:tcPr>
            <w:tcW w:w="0" w:type="auto"/>
          </w:tcPr>
          <w:p w14:paraId="4BF38156"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30,080</w:t>
            </w:r>
          </w:p>
        </w:tc>
        <w:tc>
          <w:tcPr>
            <w:tcW w:w="164" w:type="dxa"/>
          </w:tcPr>
          <w:p w14:paraId="57B5A0AC" w14:textId="77777777" w:rsidR="00F7173A" w:rsidRPr="00016CB6" w:rsidRDefault="00F7173A" w:rsidP="00B25371">
            <w:pPr>
              <w:jc w:val="center"/>
              <w:rPr>
                <w:rFonts w:ascii="Arial" w:hAnsi="Arial" w:cs="Arial"/>
                <w:color w:val="000000"/>
                <w:sz w:val="18"/>
                <w:szCs w:val="18"/>
              </w:rPr>
            </w:pPr>
          </w:p>
        </w:tc>
        <w:tc>
          <w:tcPr>
            <w:tcW w:w="487" w:type="dxa"/>
          </w:tcPr>
          <w:p w14:paraId="6DE1DDEB"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242</w:t>
            </w:r>
          </w:p>
        </w:tc>
        <w:tc>
          <w:tcPr>
            <w:tcW w:w="0" w:type="auto"/>
          </w:tcPr>
          <w:p w14:paraId="0D0B6EBE" w14:textId="77777777" w:rsidR="00F7173A" w:rsidRPr="00016CB6" w:rsidRDefault="00F7173A" w:rsidP="00B25371">
            <w:pPr>
              <w:jc w:val="center"/>
              <w:rPr>
                <w:rFonts w:ascii="Arial" w:hAnsi="Arial" w:cs="Arial"/>
                <w:color w:val="000000"/>
                <w:sz w:val="18"/>
                <w:szCs w:val="18"/>
              </w:rPr>
            </w:pPr>
            <w:r w:rsidRPr="00016CB6">
              <w:rPr>
                <w:rFonts w:ascii="Arial" w:hAnsi="Arial" w:cs="Arial"/>
                <w:b/>
                <w:bCs/>
                <w:color w:val="000000"/>
                <w:sz w:val="18"/>
                <w:szCs w:val="18"/>
                <w:u w:val="single"/>
              </w:rPr>
              <w:t>61,388</w:t>
            </w:r>
          </w:p>
        </w:tc>
        <w:tc>
          <w:tcPr>
            <w:tcW w:w="0" w:type="auto"/>
            <w:vAlign w:val="center"/>
          </w:tcPr>
          <w:p w14:paraId="0AA437EF" w14:textId="77777777" w:rsidR="00F7173A" w:rsidRPr="00016CB6" w:rsidRDefault="00F7173A" w:rsidP="00B25371">
            <w:pPr>
              <w:rPr>
                <w:rFonts w:ascii="Arial" w:hAnsi="Arial" w:cs="Arial"/>
                <w:color w:val="000000"/>
                <w:sz w:val="18"/>
                <w:szCs w:val="18"/>
              </w:rPr>
            </w:pPr>
          </w:p>
        </w:tc>
      </w:tr>
      <w:tr w:rsidR="00F7173A" w:rsidRPr="00016CB6" w14:paraId="2702B2E3" w14:textId="77777777" w:rsidTr="00D032E4">
        <w:trPr>
          <w:trHeight w:val="285"/>
          <w:tblCellSpacing w:w="15" w:type="dxa"/>
        </w:trPr>
        <w:tc>
          <w:tcPr>
            <w:tcW w:w="0" w:type="auto"/>
          </w:tcPr>
          <w:p w14:paraId="4E56701A" w14:textId="77777777" w:rsidR="00F7173A" w:rsidRPr="00016CB6" w:rsidRDefault="00F7173A" w:rsidP="00B25371">
            <w:pPr>
              <w:jc w:val="center"/>
              <w:rPr>
                <w:rFonts w:ascii="Arial" w:hAnsi="Arial" w:cs="Arial"/>
                <w:color w:val="000000"/>
                <w:sz w:val="18"/>
                <w:szCs w:val="18"/>
              </w:rPr>
            </w:pPr>
          </w:p>
        </w:tc>
        <w:tc>
          <w:tcPr>
            <w:tcW w:w="0" w:type="auto"/>
          </w:tcPr>
          <w:p w14:paraId="65178217"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Unit price</w:t>
            </w:r>
          </w:p>
        </w:tc>
        <w:tc>
          <w:tcPr>
            <w:tcW w:w="0" w:type="auto"/>
          </w:tcPr>
          <w:p w14:paraId="51E694BB" w14:textId="77777777" w:rsidR="00F7173A" w:rsidRPr="00016CB6" w:rsidRDefault="00F7173A" w:rsidP="00B25371">
            <w:pPr>
              <w:jc w:val="center"/>
              <w:rPr>
                <w:rFonts w:ascii="Arial" w:hAnsi="Arial" w:cs="Arial"/>
                <w:color w:val="000000"/>
                <w:sz w:val="18"/>
                <w:szCs w:val="18"/>
              </w:rPr>
            </w:pPr>
          </w:p>
        </w:tc>
        <w:tc>
          <w:tcPr>
            <w:tcW w:w="0" w:type="auto"/>
          </w:tcPr>
          <w:p w14:paraId="15E4A4C0"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$155</w:t>
            </w:r>
          </w:p>
        </w:tc>
        <w:tc>
          <w:tcPr>
            <w:tcW w:w="0" w:type="auto"/>
            <w:gridSpan w:val="2"/>
          </w:tcPr>
          <w:p w14:paraId="7F9112EB" w14:textId="77777777" w:rsidR="00F7173A" w:rsidRPr="00016CB6" w:rsidRDefault="00F7173A" w:rsidP="00B25371">
            <w:pPr>
              <w:jc w:val="center"/>
              <w:rPr>
                <w:rFonts w:ascii="Arial" w:hAnsi="Arial" w:cs="Arial"/>
                <w:color w:val="000000"/>
                <w:sz w:val="18"/>
                <w:szCs w:val="18"/>
              </w:rPr>
            </w:pPr>
          </w:p>
        </w:tc>
        <w:tc>
          <w:tcPr>
            <w:tcW w:w="0" w:type="auto"/>
          </w:tcPr>
          <w:p w14:paraId="7B8FB1E9"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$269</w:t>
            </w:r>
          </w:p>
        </w:tc>
        <w:tc>
          <w:tcPr>
            <w:tcW w:w="0" w:type="auto"/>
            <w:gridSpan w:val="2"/>
          </w:tcPr>
          <w:p w14:paraId="52A93141" w14:textId="77777777" w:rsidR="00F7173A" w:rsidRPr="00016CB6" w:rsidRDefault="00F7173A" w:rsidP="00B25371">
            <w:pPr>
              <w:jc w:val="center"/>
              <w:rPr>
                <w:rFonts w:ascii="Arial" w:hAnsi="Arial" w:cs="Arial"/>
                <w:color w:val="000000"/>
                <w:sz w:val="18"/>
                <w:szCs w:val="18"/>
              </w:rPr>
            </w:pPr>
          </w:p>
        </w:tc>
        <w:tc>
          <w:tcPr>
            <w:tcW w:w="0" w:type="auto"/>
          </w:tcPr>
          <w:p w14:paraId="3FD35CF6" w14:textId="77777777" w:rsidR="00F7173A" w:rsidRPr="00016CB6" w:rsidRDefault="00F7173A" w:rsidP="00B25371">
            <w:pPr>
              <w:jc w:val="center"/>
              <w:rPr>
                <w:rFonts w:ascii="Arial" w:hAnsi="Arial" w:cs="Arial"/>
                <w:color w:val="000000"/>
                <w:sz w:val="18"/>
                <w:szCs w:val="18"/>
              </w:rPr>
            </w:pPr>
            <w:r w:rsidRPr="00016CB6">
              <w:rPr>
                <w:rFonts w:ascii="Arial" w:hAnsi="Arial" w:cs="Arial"/>
                <w:color w:val="000000"/>
                <w:sz w:val="18"/>
                <w:szCs w:val="18"/>
              </w:rPr>
              <w:t>$254</w:t>
            </w:r>
          </w:p>
        </w:tc>
        <w:tc>
          <w:tcPr>
            <w:tcW w:w="0" w:type="auto"/>
            <w:vAlign w:val="center"/>
          </w:tcPr>
          <w:p w14:paraId="2AA214BF" w14:textId="77777777" w:rsidR="00F7173A" w:rsidRPr="00016CB6" w:rsidRDefault="00F7173A" w:rsidP="00B25371">
            <w:pPr>
              <w:rPr>
                <w:rFonts w:ascii="Arial" w:hAnsi="Arial" w:cs="Arial"/>
                <w:color w:val="000000"/>
                <w:sz w:val="18"/>
                <w:szCs w:val="18"/>
              </w:rPr>
            </w:pPr>
          </w:p>
        </w:tc>
      </w:tr>
    </w:tbl>
    <w:p w14:paraId="2D957D97" w14:textId="77777777" w:rsidR="00AE7DB1" w:rsidRPr="00F7173A" w:rsidRDefault="00AE7DB1" w:rsidP="00B25371">
      <w:pPr>
        <w:rPr>
          <w:rFonts w:ascii="Arial" w:hAnsi="Arial" w:cs="Arial"/>
          <w:sz w:val="20"/>
          <w:szCs w:val="20"/>
        </w:rPr>
      </w:pPr>
    </w:p>
    <w:sectPr w:rsidR="00AE7DB1" w:rsidRPr="00F7173A" w:rsidSect="003712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F711" w14:textId="77777777" w:rsidR="000B0EB6" w:rsidRDefault="000B0EB6" w:rsidP="00C14582">
      <w:pPr>
        <w:spacing w:after="0" w:line="240" w:lineRule="auto"/>
      </w:pPr>
      <w:r>
        <w:separator/>
      </w:r>
    </w:p>
  </w:endnote>
  <w:endnote w:type="continuationSeparator" w:id="0">
    <w:p w14:paraId="5B865698" w14:textId="77777777" w:rsidR="000B0EB6" w:rsidRDefault="000B0EB6" w:rsidP="00C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97280"/>
      <w:docPartObj>
        <w:docPartGallery w:val="Page Numbers (Bottom of Page)"/>
        <w:docPartUnique/>
      </w:docPartObj>
    </w:sdtPr>
    <w:sdtEndPr/>
    <w:sdtContent>
      <w:sdt>
        <w:sdtPr>
          <w:id w:val="565050523"/>
          <w:docPartObj>
            <w:docPartGallery w:val="Page Numbers (Top of Page)"/>
            <w:docPartUnique/>
          </w:docPartObj>
        </w:sdtPr>
        <w:sdtEndPr/>
        <w:sdtContent>
          <w:p w14:paraId="73FDDE35" w14:textId="4FB07E23" w:rsidR="000B0EB6" w:rsidRDefault="000B0EB6" w:rsidP="006852E9">
            <w:pPr>
              <w:pStyle w:val="Footer"/>
            </w:pPr>
            <w:r>
              <w:t>Updated 3/</w:t>
            </w:r>
            <w:r w:rsidR="00196662">
              <w:t>10</w:t>
            </w:r>
            <w:r>
              <w:t>/20</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14:paraId="6D427F2D" w14:textId="77777777" w:rsidR="000B0EB6" w:rsidRDefault="000B0EB6" w:rsidP="00C14582">
    <w:pPr>
      <w:pStyle w:val="Footer"/>
      <w:tabs>
        <w:tab w:val="clear" w:pos="4680"/>
        <w:tab w:val="clear" w:pos="9360"/>
        <w:tab w:val="left" w:pos="3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852E" w14:textId="77777777" w:rsidR="000B0EB6" w:rsidRDefault="000B0EB6" w:rsidP="00C14582">
      <w:pPr>
        <w:spacing w:after="0" w:line="240" w:lineRule="auto"/>
      </w:pPr>
      <w:r>
        <w:separator/>
      </w:r>
    </w:p>
  </w:footnote>
  <w:footnote w:type="continuationSeparator" w:id="0">
    <w:p w14:paraId="6FCDB6B4" w14:textId="77777777" w:rsidR="000B0EB6" w:rsidRDefault="000B0EB6" w:rsidP="00C14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B9F"/>
    <w:multiLevelType w:val="hybridMultilevel"/>
    <w:tmpl w:val="11AAFB88"/>
    <w:lvl w:ilvl="0" w:tplc="260846D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B7139C"/>
    <w:multiLevelType w:val="hybridMultilevel"/>
    <w:tmpl w:val="7436A5A8"/>
    <w:lvl w:ilvl="0" w:tplc="CF00B098">
      <w:start w:val="1"/>
      <w:numFmt w:val="decimal"/>
      <w:lvlText w:val="%1."/>
      <w:lvlJc w:val="left"/>
      <w:pPr>
        <w:ind w:left="1080" w:hanging="360"/>
      </w:pPr>
      <w:rPr>
        <w:b/>
        <w:bCs/>
      </w:rPr>
    </w:lvl>
    <w:lvl w:ilvl="1" w:tplc="9942196A">
      <w:start w:val="1"/>
      <w:numFmt w:val="low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C0066"/>
    <w:multiLevelType w:val="hybridMultilevel"/>
    <w:tmpl w:val="0D1E83B6"/>
    <w:lvl w:ilvl="0" w:tplc="6BE00C50">
      <w:start w:val="1"/>
      <w:numFmt w:val="lowerLetter"/>
      <w:lvlText w:val="%1."/>
      <w:lvlJc w:val="left"/>
      <w:pPr>
        <w:ind w:left="1800" w:hanging="360"/>
      </w:pPr>
      <w:rPr>
        <w:rFonts w:hint="default"/>
        <w:b/>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365D5BA0"/>
    <w:multiLevelType w:val="hybridMultilevel"/>
    <w:tmpl w:val="9692DAE8"/>
    <w:lvl w:ilvl="0" w:tplc="7A163BCA">
      <w:start w:val="1"/>
      <w:numFmt w:val="decimal"/>
      <w:lvlText w:val="%1."/>
      <w:lvlJc w:val="left"/>
      <w:pPr>
        <w:ind w:left="10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7AB2A0C"/>
    <w:multiLevelType w:val="hybridMultilevel"/>
    <w:tmpl w:val="78863844"/>
    <w:lvl w:ilvl="0" w:tplc="20884A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8C417F"/>
    <w:multiLevelType w:val="hybridMultilevel"/>
    <w:tmpl w:val="B6961EA0"/>
    <w:lvl w:ilvl="0" w:tplc="3AC632EA">
      <w:start w:val="1"/>
      <w:numFmt w:val="lowerLetter"/>
      <w:lvlText w:val="%1."/>
      <w:lvlJc w:val="left"/>
      <w:pPr>
        <w:ind w:left="1440" w:hanging="360"/>
      </w:pPr>
      <w:rPr>
        <w:rFonts w:hint="default"/>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4A501203"/>
    <w:multiLevelType w:val="hybridMultilevel"/>
    <w:tmpl w:val="000C1506"/>
    <w:lvl w:ilvl="0" w:tplc="D612FA46">
      <w:start w:val="1"/>
      <w:numFmt w:val="lowerLetter"/>
      <w:lvlText w:val="%1."/>
      <w:lvlJc w:val="left"/>
      <w:pPr>
        <w:ind w:left="1800" w:hanging="360"/>
      </w:pPr>
      <w:rPr>
        <w:rFonts w:hint="default"/>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4B652539"/>
    <w:multiLevelType w:val="hybridMultilevel"/>
    <w:tmpl w:val="ED823BB2"/>
    <w:lvl w:ilvl="0" w:tplc="25F47DBA">
      <w:start w:val="1"/>
      <w:numFmt w:val="upperLetter"/>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3A51F09"/>
    <w:multiLevelType w:val="hybridMultilevel"/>
    <w:tmpl w:val="AF84DF18"/>
    <w:lvl w:ilvl="0" w:tplc="A824E240">
      <w:start w:val="1"/>
      <w:numFmt w:val="decimal"/>
      <w:lvlText w:val="%1."/>
      <w:lvlJc w:val="left"/>
      <w:pPr>
        <w:ind w:left="360" w:hanging="360"/>
      </w:pPr>
      <w:rPr>
        <w:rFonts w:ascii="Tahoma" w:hAnsi="Tahoma" w:cs="Tahoma" w:hint="default"/>
        <w:b/>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546EBD"/>
    <w:multiLevelType w:val="hybridMultilevel"/>
    <w:tmpl w:val="BD5AB9C2"/>
    <w:lvl w:ilvl="0" w:tplc="CD582D88">
      <w:start w:val="1"/>
      <w:numFmt w:val="lowerLetter"/>
      <w:lvlText w:val="%1."/>
      <w:lvlJc w:val="left"/>
      <w:pPr>
        <w:ind w:left="1800" w:hanging="360"/>
      </w:pPr>
      <w:rPr>
        <w:rFonts w:hint="default"/>
        <w:b/>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15:restartNumberingAfterBreak="0">
    <w:nsid w:val="77E97C28"/>
    <w:multiLevelType w:val="hybridMultilevel"/>
    <w:tmpl w:val="2EB2C26A"/>
    <w:lvl w:ilvl="0" w:tplc="D5FA5FBA">
      <w:start w:val="1"/>
      <w:numFmt w:val="lowerLetter"/>
      <w:lvlText w:val="%1."/>
      <w:lvlJc w:val="left"/>
      <w:pPr>
        <w:ind w:left="1800" w:hanging="360"/>
      </w:pPr>
      <w:rPr>
        <w:rFonts w:hint="default"/>
        <w:b/>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7DF31435"/>
    <w:multiLevelType w:val="hybridMultilevel"/>
    <w:tmpl w:val="D0586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2"/>
  </w:num>
  <w:num w:numId="5">
    <w:abstractNumId w:val="9"/>
  </w:num>
  <w:num w:numId="6">
    <w:abstractNumId w:val="10"/>
  </w:num>
  <w:num w:numId="7">
    <w:abstractNumId w:val="5"/>
  </w:num>
  <w:num w:numId="8">
    <w:abstractNumId w:val="0"/>
  </w:num>
  <w:num w:numId="9">
    <w:abstractNumId w:val="7"/>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B1"/>
    <w:rsid w:val="00016CB6"/>
    <w:rsid w:val="00025FB2"/>
    <w:rsid w:val="00094826"/>
    <w:rsid w:val="000A49A7"/>
    <w:rsid w:val="000B0EB6"/>
    <w:rsid w:val="00104398"/>
    <w:rsid w:val="00196662"/>
    <w:rsid w:val="001D7DB8"/>
    <w:rsid w:val="001E7B47"/>
    <w:rsid w:val="00246FD0"/>
    <w:rsid w:val="002E1C53"/>
    <w:rsid w:val="003712AF"/>
    <w:rsid w:val="003A5BE0"/>
    <w:rsid w:val="003A5DE9"/>
    <w:rsid w:val="003B3D72"/>
    <w:rsid w:val="003F5EE5"/>
    <w:rsid w:val="00454CDE"/>
    <w:rsid w:val="004E3617"/>
    <w:rsid w:val="004F5368"/>
    <w:rsid w:val="00552A0D"/>
    <w:rsid w:val="005A01BF"/>
    <w:rsid w:val="005B4C4A"/>
    <w:rsid w:val="005C1339"/>
    <w:rsid w:val="0062761F"/>
    <w:rsid w:val="006852E9"/>
    <w:rsid w:val="006F3ACC"/>
    <w:rsid w:val="00737C30"/>
    <w:rsid w:val="0085329C"/>
    <w:rsid w:val="008769E5"/>
    <w:rsid w:val="008B1E71"/>
    <w:rsid w:val="009A1541"/>
    <w:rsid w:val="00A6746E"/>
    <w:rsid w:val="00AA47CD"/>
    <w:rsid w:val="00AE7DB1"/>
    <w:rsid w:val="00AF18B5"/>
    <w:rsid w:val="00B25371"/>
    <w:rsid w:val="00B26ABA"/>
    <w:rsid w:val="00B51FCB"/>
    <w:rsid w:val="00C07E6C"/>
    <w:rsid w:val="00C14582"/>
    <w:rsid w:val="00CA09CC"/>
    <w:rsid w:val="00D032E4"/>
    <w:rsid w:val="00DE4119"/>
    <w:rsid w:val="00E177B9"/>
    <w:rsid w:val="00E44B70"/>
    <w:rsid w:val="00E91BD0"/>
    <w:rsid w:val="00F3433E"/>
    <w:rsid w:val="00F7173A"/>
    <w:rsid w:val="00F7647B"/>
    <w:rsid w:val="00F85DAF"/>
    <w:rsid w:val="00FA6351"/>
    <w:rsid w:val="00FB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EB69"/>
  <w15:docId w15:val="{BA822C4A-4D90-492F-B87F-4C48F4D8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B1"/>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B1"/>
    <w:pPr>
      <w:ind w:left="720"/>
      <w:contextualSpacing/>
    </w:pPr>
  </w:style>
  <w:style w:type="paragraph" w:styleId="NormalWeb">
    <w:name w:val="Normal (Web)"/>
    <w:basedOn w:val="Normal"/>
    <w:rsid w:val="00AE7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E7DB1"/>
    <w:rPr>
      <w:color w:val="0000FF"/>
      <w:u w:val="single"/>
    </w:rPr>
  </w:style>
  <w:style w:type="character" w:customStyle="1" w:styleId="normbold1">
    <w:name w:val="normbold1"/>
    <w:basedOn w:val="DefaultParagraphFont"/>
    <w:rsid w:val="00AE7DB1"/>
    <w:rPr>
      <w:rFonts w:ascii="Arial" w:hAnsi="Arial" w:cs="Arial" w:hint="default"/>
      <w:b/>
      <w:bCs/>
      <w:sz w:val="20"/>
      <w:szCs w:val="20"/>
    </w:rPr>
  </w:style>
  <w:style w:type="paragraph" w:customStyle="1" w:styleId="boldblk">
    <w:name w:val="boldblk"/>
    <w:basedOn w:val="Normal"/>
    <w:rsid w:val="00AE7DB1"/>
    <w:pPr>
      <w:spacing w:before="100" w:beforeAutospacing="1" w:after="100" w:afterAutospacing="1" w:line="240" w:lineRule="auto"/>
    </w:pPr>
    <w:rPr>
      <w:rFonts w:ascii="Verdana" w:eastAsia="Times New Roman" w:hAnsi="Verdana" w:cs="Times New Roman"/>
      <w:b/>
      <w:bCs/>
      <w:color w:val="000000"/>
      <w:sz w:val="24"/>
      <w:szCs w:val="24"/>
    </w:rPr>
  </w:style>
  <w:style w:type="character" w:styleId="FollowedHyperlink">
    <w:name w:val="FollowedHyperlink"/>
    <w:basedOn w:val="DefaultParagraphFont"/>
    <w:uiPriority w:val="99"/>
    <w:semiHidden/>
    <w:unhideWhenUsed/>
    <w:rsid w:val="00AE7DB1"/>
    <w:rPr>
      <w:color w:val="800080" w:themeColor="followedHyperlink"/>
      <w:u w:val="single"/>
    </w:rPr>
  </w:style>
  <w:style w:type="paragraph" w:styleId="Header">
    <w:name w:val="header"/>
    <w:basedOn w:val="Normal"/>
    <w:link w:val="HeaderChar"/>
    <w:uiPriority w:val="99"/>
    <w:unhideWhenUsed/>
    <w:rsid w:val="00C1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82"/>
  </w:style>
  <w:style w:type="paragraph" w:styleId="Footer">
    <w:name w:val="footer"/>
    <w:basedOn w:val="Normal"/>
    <w:link w:val="FooterChar"/>
    <w:uiPriority w:val="99"/>
    <w:unhideWhenUsed/>
    <w:rsid w:val="00C1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82"/>
  </w:style>
  <w:style w:type="paragraph" w:styleId="BalloonText">
    <w:name w:val="Balloon Text"/>
    <w:basedOn w:val="Normal"/>
    <w:link w:val="BalloonTextChar"/>
    <w:uiPriority w:val="99"/>
    <w:semiHidden/>
    <w:unhideWhenUsed/>
    <w:rsid w:val="0087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E5"/>
    <w:rPr>
      <w:rFonts w:ascii="Tahoma" w:hAnsi="Tahoma" w:cs="Tahoma"/>
      <w:sz w:val="16"/>
      <w:szCs w:val="16"/>
    </w:rPr>
  </w:style>
  <w:style w:type="paragraph" w:styleId="Revision">
    <w:name w:val="Revision"/>
    <w:hidden/>
    <w:uiPriority w:val="99"/>
    <w:semiHidden/>
    <w:rsid w:val="00DE4119"/>
    <w:pPr>
      <w:spacing w:before="0" w:beforeAutospacing="0"/>
      <w:ind w:left="0" w:firstLine="0"/>
    </w:pPr>
  </w:style>
  <w:style w:type="character" w:styleId="CommentReference">
    <w:name w:val="annotation reference"/>
    <w:basedOn w:val="DefaultParagraphFont"/>
    <w:uiPriority w:val="99"/>
    <w:semiHidden/>
    <w:unhideWhenUsed/>
    <w:rsid w:val="000B0EB6"/>
    <w:rPr>
      <w:sz w:val="16"/>
      <w:szCs w:val="16"/>
    </w:rPr>
  </w:style>
  <w:style w:type="paragraph" w:styleId="CommentText">
    <w:name w:val="annotation text"/>
    <w:basedOn w:val="Normal"/>
    <w:link w:val="CommentTextChar"/>
    <w:uiPriority w:val="99"/>
    <w:semiHidden/>
    <w:unhideWhenUsed/>
    <w:rsid w:val="000B0EB6"/>
    <w:pPr>
      <w:spacing w:line="240" w:lineRule="auto"/>
    </w:pPr>
    <w:rPr>
      <w:sz w:val="20"/>
      <w:szCs w:val="20"/>
    </w:rPr>
  </w:style>
  <w:style w:type="character" w:customStyle="1" w:styleId="CommentTextChar">
    <w:name w:val="Comment Text Char"/>
    <w:basedOn w:val="DefaultParagraphFont"/>
    <w:link w:val="CommentText"/>
    <w:uiPriority w:val="99"/>
    <w:semiHidden/>
    <w:rsid w:val="000B0EB6"/>
    <w:rPr>
      <w:sz w:val="20"/>
      <w:szCs w:val="20"/>
    </w:rPr>
  </w:style>
  <w:style w:type="paragraph" w:styleId="CommentSubject">
    <w:name w:val="annotation subject"/>
    <w:basedOn w:val="CommentText"/>
    <w:next w:val="CommentText"/>
    <w:link w:val="CommentSubjectChar"/>
    <w:uiPriority w:val="99"/>
    <w:semiHidden/>
    <w:unhideWhenUsed/>
    <w:rsid w:val="000B0EB6"/>
    <w:rPr>
      <w:b/>
      <w:bCs/>
    </w:rPr>
  </w:style>
  <w:style w:type="character" w:customStyle="1" w:styleId="CommentSubjectChar">
    <w:name w:val="Comment Subject Char"/>
    <w:basedOn w:val="CommentTextChar"/>
    <w:link w:val="CommentSubject"/>
    <w:uiPriority w:val="99"/>
    <w:semiHidden/>
    <w:rsid w:val="000B0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fin.colostate.edu/Resources/Forms.aspx" TargetMode="External"/><Relationship Id="rId3" Type="http://schemas.openxmlformats.org/officeDocument/2006/relationships/settings" Target="settings.xml"/><Relationship Id="rId7" Type="http://schemas.openxmlformats.org/officeDocument/2006/relationships/hyperlink" Target="http://busfin.colostate.edu/Resources/Fo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fin.colostate.edu/Resourc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FBECEC5.dotm</Template>
  <TotalTime>1</TotalTime>
  <Pages>4</Pages>
  <Words>1799</Words>
  <Characters>10258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daleathe</dc:creator>
  <cp:lastModifiedBy>MacNaughton,Connie</cp:lastModifiedBy>
  <cp:revision>2</cp:revision>
  <cp:lastPrinted>2013-12-06T15:24:00Z</cp:lastPrinted>
  <dcterms:created xsi:type="dcterms:W3CDTF">2020-03-12T14:23:00Z</dcterms:created>
  <dcterms:modified xsi:type="dcterms:W3CDTF">2020-03-12T14:23:00Z</dcterms:modified>
</cp:coreProperties>
</file>